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3AAC" w14:textId="77777777" w:rsidR="004E1EE3" w:rsidRPr="00C72BA4" w:rsidRDefault="004E1EE3" w:rsidP="004E1EE3">
      <w:pP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sectPr w:rsidR="004E1EE3" w:rsidRPr="00C72BA4" w:rsidSect="004E1EE3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18179FB" w14:textId="77777777" w:rsidR="004E1EE3" w:rsidRPr="00C72BA4" w:rsidRDefault="004E1EE3" w:rsidP="004E1EE3">
      <w:pP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</w:t>
      </w:r>
      <w:r w:rsidRPr="00C72BA4">
        <w:rPr>
          <w:rFonts w:ascii="Times New Roman" w:eastAsiaTheme="minorEastAsia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454BB6E0" wp14:editId="04B39668">
            <wp:extent cx="657225" cy="852805"/>
            <wp:effectExtent l="0" t="0" r="9525" b="4445"/>
            <wp:docPr id="38800922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314D13" w14:textId="77777777" w:rsidR="004E1EE3" w:rsidRPr="00C72BA4" w:rsidRDefault="004E1EE3" w:rsidP="004E1EE3">
      <w:pP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OPĆINA KONČANICA</w:t>
      </w:r>
    </w:p>
    <w:p w14:paraId="2166C944" w14:textId="77777777" w:rsidR="004E1EE3" w:rsidRPr="00C72BA4" w:rsidRDefault="004E1EE3" w:rsidP="004E1EE3">
      <w:pP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43F6D0" w14:textId="77777777" w:rsidR="004E1EE3" w:rsidRPr="00C72BA4" w:rsidRDefault="004E1EE3" w:rsidP="004E1EE3">
      <w:pP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D6083D8" w14:textId="77777777" w:rsidR="004E1EE3" w:rsidRPr="00C72BA4" w:rsidRDefault="004E1EE3" w:rsidP="004E1EE3">
      <w:pP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AEE018" w14:textId="5512A650" w:rsidR="004E1EE3" w:rsidRPr="00C72BA4" w:rsidRDefault="004E1EE3" w:rsidP="004E1EE3">
      <w:pPr>
        <w:jc w:val="center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83605031"/>
      <w:r w:rsidRPr="00C72BA4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  <w:t xml:space="preserve">I. IZMJENE I DOPUNE </w:t>
      </w:r>
      <w:bookmarkStart w:id="1" w:name="_Hlk167091528"/>
      <w:r w:rsidRPr="00C72BA4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  <w:t>PRORAČUNA</w:t>
      </w:r>
    </w:p>
    <w:p w14:paraId="11D7BE7B" w14:textId="0D090525" w:rsidR="004E1EE3" w:rsidRPr="00C72BA4" w:rsidRDefault="004E1EE3" w:rsidP="004E1EE3">
      <w:pPr>
        <w:jc w:val="center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</w:pPr>
      <w:r w:rsidRPr="00C72BA4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  <w:t>OPĆINE KONČANICA ZA 202</w:t>
      </w:r>
      <w:r w:rsidR="007B77BE" w:rsidRPr="00C72BA4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Pr="00C72BA4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  <w:t>. GODINU</w:t>
      </w:r>
    </w:p>
    <w:bookmarkEnd w:id="0"/>
    <w:bookmarkEnd w:id="1"/>
    <w:p w14:paraId="1CB32C48" w14:textId="77777777" w:rsidR="004E1EE3" w:rsidRPr="00C72BA4" w:rsidRDefault="004E1EE3" w:rsidP="004E1EE3">
      <w:pPr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0B69775" w14:textId="77777777" w:rsidR="004E1EE3" w:rsidRPr="00C72BA4" w:rsidRDefault="004E1EE3" w:rsidP="004E1EE3">
      <w:pPr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7DD1A0E" w14:textId="77777777" w:rsidR="004E1EE3" w:rsidRPr="00C72BA4" w:rsidRDefault="004E1EE3" w:rsidP="004E1EE3">
      <w:pPr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83D478E" w14:textId="77777777" w:rsidR="004E1EE3" w:rsidRPr="00C72BA4" w:rsidRDefault="004E1EE3" w:rsidP="004E1EE3">
      <w:pPr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01EEDC78" w14:textId="77777777" w:rsidR="004E1EE3" w:rsidRPr="00C72BA4" w:rsidRDefault="004E1EE3" w:rsidP="004E1EE3">
      <w:pPr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38C9ED1" w14:textId="77777777" w:rsidR="004E1EE3" w:rsidRPr="00C72BA4" w:rsidRDefault="004E1EE3" w:rsidP="004E1EE3">
      <w:pPr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04B58CC0" w14:textId="77777777" w:rsidR="004E1EE3" w:rsidRPr="00C72BA4" w:rsidRDefault="004E1EE3" w:rsidP="004E1EE3">
      <w:pPr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3E55D8B" w14:textId="77777777" w:rsidR="004E1EE3" w:rsidRPr="00C72BA4" w:rsidRDefault="004E1EE3" w:rsidP="004E1EE3">
      <w:pPr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1427563" w14:textId="77777777" w:rsidR="004E1EE3" w:rsidRPr="00C72BA4" w:rsidRDefault="004E1EE3" w:rsidP="004E1EE3">
      <w:pPr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7D9E3346" w14:textId="77777777" w:rsidR="004E1EE3" w:rsidRPr="00C72BA4" w:rsidRDefault="004E1EE3" w:rsidP="004E1EE3">
      <w:pPr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3921FC3E" w14:textId="77777777" w:rsidR="004E1EE3" w:rsidRPr="00C72BA4" w:rsidRDefault="004E1EE3" w:rsidP="004E1EE3">
      <w:pPr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7D69B15" w14:textId="77777777" w:rsidR="004E1EE3" w:rsidRPr="00C72BA4" w:rsidRDefault="004E1EE3" w:rsidP="004E1EE3">
      <w:pPr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F085630" w14:textId="77777777" w:rsidR="004E1EE3" w:rsidRPr="00C72BA4" w:rsidRDefault="004E1EE3" w:rsidP="004E1EE3">
      <w:pPr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DDF35F1" w14:textId="77777777" w:rsidR="004E1EE3" w:rsidRPr="00C72BA4" w:rsidRDefault="004E1EE3" w:rsidP="004E1EE3">
      <w:pPr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7255BD5" w14:textId="77777777" w:rsidR="004E1EE3" w:rsidRPr="00C72BA4" w:rsidRDefault="004E1EE3" w:rsidP="004E1EE3">
      <w:pPr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ED669B3" w14:textId="77777777" w:rsidR="002904CB" w:rsidRPr="00C72BA4" w:rsidRDefault="002904CB" w:rsidP="002904CB">
      <w:pPr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D243854" w14:textId="2D9C176B" w:rsidR="004E1EE3" w:rsidRPr="00C72BA4" w:rsidRDefault="004E1EE3" w:rsidP="002904CB">
      <w:pPr>
        <w:ind w:left="-426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sectPr w:rsidR="004E1EE3" w:rsidRPr="00C72BA4" w:rsidSect="004E1EE3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Općinsko vijeće Općine Končanica je dana </w:t>
      </w:r>
      <w:r w:rsidR="00E6740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12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7B77BE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kolovoza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7B77BE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5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 godine usvojilo Odluku o</w:t>
      </w:r>
      <w:r w:rsidR="002904CB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I.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4CB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zmjenama i dopunama Proračuna Općine Končanica za 202</w:t>
      </w:r>
      <w:r w:rsidR="007B77BE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5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 godinu</w:t>
      </w:r>
      <w:r w:rsidR="002904CB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te se na temelju istih provode I. Izmjene i dopune Proračuna Općine Končanica 202</w:t>
      </w:r>
      <w:r w:rsidR="007B77BE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5</w:t>
      </w:r>
      <w:r w:rsidR="002904CB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 godine.</w:t>
      </w:r>
    </w:p>
    <w:p w14:paraId="5CEBA21E" w14:textId="6C8CA9B4" w:rsidR="004E1EE3" w:rsidRPr="00C72BA4" w:rsidRDefault="004E1EE3" w:rsidP="004E1EE3">
      <w:pPr>
        <w:spacing w:before="240"/>
        <w:ind w:right="-567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lastRenderedPageBreak/>
        <w:t>SADRŽAJ</w:t>
      </w:r>
    </w:p>
    <w:p w14:paraId="51D3D846" w14:textId="7864433E" w:rsidR="004E1EE3" w:rsidRPr="00C72BA4" w:rsidRDefault="004E1EE3" w:rsidP="00554FE5">
      <w:pPr>
        <w:pStyle w:val="Odlomakpopisa"/>
        <w:numPr>
          <w:ilvl w:val="0"/>
          <w:numId w:val="34"/>
        </w:numPr>
        <w:spacing w:before="24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C72BA4">
        <w:rPr>
          <w:rFonts w:ascii="Times New Roman" w:hAnsi="Times New Roman" w:cs="Times New Roman"/>
          <w:sz w:val="24"/>
          <w:szCs w:val="24"/>
        </w:rPr>
        <w:t>OPĆI DIO</w:t>
      </w:r>
      <w:r w:rsidRPr="00C72BA4">
        <w:rPr>
          <w:rFonts w:ascii="Times New Roman" w:hAnsi="Times New Roman" w:cs="Times New Roman"/>
          <w:sz w:val="24"/>
          <w:szCs w:val="24"/>
        </w:rPr>
        <w:tab/>
      </w:r>
    </w:p>
    <w:p w14:paraId="471CD291" w14:textId="2122CF6C" w:rsidR="004E1EE3" w:rsidRPr="00C72BA4" w:rsidRDefault="004E1EE3" w:rsidP="00D56A72">
      <w:pPr>
        <w:pStyle w:val="Odlomakpopisa"/>
        <w:numPr>
          <w:ilvl w:val="1"/>
          <w:numId w:val="34"/>
        </w:numPr>
        <w:spacing w:before="24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C72BA4">
        <w:rPr>
          <w:rFonts w:ascii="Times New Roman" w:hAnsi="Times New Roman" w:cs="Times New Roman"/>
          <w:sz w:val="24"/>
          <w:szCs w:val="24"/>
        </w:rPr>
        <w:t>RAČUN PRIHODA I RASHODA</w:t>
      </w:r>
      <w:r w:rsidRPr="00C72BA4">
        <w:rPr>
          <w:rFonts w:ascii="Times New Roman" w:hAnsi="Times New Roman" w:cs="Times New Roman"/>
          <w:sz w:val="24"/>
          <w:szCs w:val="24"/>
        </w:rPr>
        <w:tab/>
      </w:r>
    </w:p>
    <w:p w14:paraId="37C6D60C" w14:textId="257F95E2" w:rsidR="004E1EE3" w:rsidRPr="00C72BA4" w:rsidRDefault="004E1EE3" w:rsidP="00D56A72">
      <w:pPr>
        <w:pStyle w:val="Odlomakpopisa"/>
        <w:numPr>
          <w:ilvl w:val="1"/>
          <w:numId w:val="34"/>
        </w:numPr>
        <w:spacing w:before="24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C72BA4">
        <w:rPr>
          <w:rFonts w:ascii="Times New Roman" w:hAnsi="Times New Roman" w:cs="Times New Roman"/>
          <w:sz w:val="24"/>
          <w:szCs w:val="24"/>
        </w:rPr>
        <w:t>RAČUN FINANCIRANJA</w:t>
      </w:r>
      <w:r w:rsidRPr="00C72BA4">
        <w:rPr>
          <w:rFonts w:ascii="Times New Roman" w:hAnsi="Times New Roman" w:cs="Times New Roman"/>
          <w:sz w:val="24"/>
          <w:szCs w:val="24"/>
        </w:rPr>
        <w:tab/>
      </w:r>
    </w:p>
    <w:p w14:paraId="620E6E3D" w14:textId="17F54DEE" w:rsidR="004E1EE3" w:rsidRPr="00C72BA4" w:rsidRDefault="004E1EE3" w:rsidP="00554FE5">
      <w:pPr>
        <w:pStyle w:val="Odlomakpopisa"/>
        <w:numPr>
          <w:ilvl w:val="0"/>
          <w:numId w:val="34"/>
        </w:numPr>
        <w:spacing w:before="24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C72BA4">
        <w:rPr>
          <w:rFonts w:ascii="Times New Roman" w:hAnsi="Times New Roman" w:cs="Times New Roman"/>
          <w:sz w:val="24"/>
          <w:szCs w:val="24"/>
        </w:rPr>
        <w:t>POSEBNI DIO</w:t>
      </w:r>
      <w:r w:rsidRPr="00C72BA4">
        <w:rPr>
          <w:rFonts w:ascii="Times New Roman" w:hAnsi="Times New Roman" w:cs="Times New Roman"/>
          <w:sz w:val="24"/>
          <w:szCs w:val="24"/>
        </w:rPr>
        <w:tab/>
      </w:r>
    </w:p>
    <w:p w14:paraId="5EA7F8DE" w14:textId="7B2E9A95" w:rsidR="004E1EE3" w:rsidRPr="00C72BA4" w:rsidRDefault="004E1EE3" w:rsidP="00D56A72">
      <w:pPr>
        <w:pStyle w:val="Odlomakpopisa"/>
        <w:numPr>
          <w:ilvl w:val="0"/>
          <w:numId w:val="34"/>
        </w:numPr>
        <w:spacing w:before="24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C72BA4">
        <w:rPr>
          <w:rFonts w:ascii="Times New Roman" w:hAnsi="Times New Roman" w:cs="Times New Roman"/>
          <w:sz w:val="24"/>
          <w:szCs w:val="24"/>
        </w:rPr>
        <w:t>OBRAZLOŽENJE I. IZMJENA I DOPUNA</w:t>
      </w:r>
      <w:r w:rsidRPr="00C72BA4">
        <w:rPr>
          <w:rFonts w:ascii="Times New Roman" w:hAnsi="Times New Roman" w:cs="Times New Roman"/>
          <w:sz w:val="24"/>
          <w:szCs w:val="24"/>
        </w:rPr>
        <w:tab/>
      </w:r>
    </w:p>
    <w:p w14:paraId="7B9EFB9C" w14:textId="77777777" w:rsidR="00554FE5" w:rsidRPr="00C72BA4" w:rsidRDefault="004E1EE3" w:rsidP="00554FE5">
      <w:pPr>
        <w:pStyle w:val="Odlomakpopisa"/>
        <w:numPr>
          <w:ilvl w:val="1"/>
          <w:numId w:val="34"/>
        </w:numPr>
        <w:spacing w:before="24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C72BA4">
        <w:rPr>
          <w:rFonts w:ascii="Times New Roman" w:hAnsi="Times New Roman" w:cs="Times New Roman"/>
          <w:sz w:val="24"/>
          <w:szCs w:val="24"/>
        </w:rPr>
        <w:t>OBRAZLOŽENJE OPĆEG DIJELA</w:t>
      </w:r>
      <w:r w:rsidRPr="00C72BA4">
        <w:rPr>
          <w:rFonts w:ascii="Times New Roman" w:hAnsi="Times New Roman" w:cs="Times New Roman"/>
          <w:sz w:val="24"/>
          <w:szCs w:val="24"/>
        </w:rPr>
        <w:tab/>
      </w:r>
    </w:p>
    <w:p w14:paraId="32B803C5" w14:textId="159120AB" w:rsidR="004E1EE3" w:rsidRPr="00C72BA4" w:rsidRDefault="004E1EE3" w:rsidP="00554FE5">
      <w:pPr>
        <w:pStyle w:val="Odlomakpopisa"/>
        <w:numPr>
          <w:ilvl w:val="1"/>
          <w:numId w:val="34"/>
        </w:numPr>
        <w:spacing w:before="24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C72BA4">
        <w:rPr>
          <w:rFonts w:ascii="Times New Roman" w:hAnsi="Times New Roman" w:cs="Times New Roman"/>
          <w:sz w:val="24"/>
          <w:szCs w:val="24"/>
        </w:rPr>
        <w:t>OBRAZLOŽENJE POSEBNOG DIJELA</w:t>
      </w:r>
      <w:r w:rsidRPr="00C72BA4">
        <w:rPr>
          <w:rFonts w:ascii="Times New Roman" w:hAnsi="Times New Roman" w:cs="Times New Roman"/>
          <w:sz w:val="24"/>
          <w:szCs w:val="24"/>
        </w:rPr>
        <w:tab/>
      </w:r>
    </w:p>
    <w:p w14:paraId="34BABBCB" w14:textId="77777777" w:rsidR="004E1EE3" w:rsidRPr="00C72BA4" w:rsidRDefault="004E1EE3" w:rsidP="004E1EE3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7AC325D2" w14:textId="77777777" w:rsidR="004E1EE3" w:rsidRPr="00C72BA4" w:rsidRDefault="004E1EE3" w:rsidP="004E1EE3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B8EE9A5" w14:textId="77777777" w:rsidR="004E1EE3" w:rsidRPr="00C72BA4" w:rsidRDefault="004E1EE3" w:rsidP="004E1EE3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4A61843" w14:textId="77777777" w:rsidR="004E1EE3" w:rsidRPr="00C72BA4" w:rsidRDefault="004E1EE3" w:rsidP="004E1EE3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12FD9A75" w14:textId="77777777" w:rsidR="004E1EE3" w:rsidRPr="00C72BA4" w:rsidRDefault="004E1EE3" w:rsidP="004E1EE3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61B455C" w14:textId="77777777" w:rsidR="004E1EE3" w:rsidRPr="00C72BA4" w:rsidRDefault="004E1EE3" w:rsidP="004E1EE3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7F409F81" w14:textId="77777777" w:rsidR="004E1EE3" w:rsidRPr="00C72BA4" w:rsidRDefault="004E1EE3" w:rsidP="004E1EE3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D3403D5" w14:textId="77777777" w:rsidR="004E1EE3" w:rsidRPr="00C72BA4" w:rsidRDefault="004E1EE3" w:rsidP="004E1EE3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7F83F8D6" w14:textId="77777777" w:rsidR="004E1EE3" w:rsidRPr="00C72BA4" w:rsidRDefault="004E1EE3" w:rsidP="004E1EE3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04EE30B1" w14:textId="77777777" w:rsidR="004E1EE3" w:rsidRPr="00C72BA4" w:rsidRDefault="004E1EE3" w:rsidP="004E1EE3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0CEAF06" w14:textId="77777777" w:rsidR="004E1EE3" w:rsidRPr="00C72BA4" w:rsidRDefault="004E1EE3" w:rsidP="004E1EE3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41D3FE9" w14:textId="77777777" w:rsidR="004E1EE3" w:rsidRPr="00C72BA4" w:rsidRDefault="004E1EE3" w:rsidP="004E1EE3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0129B978" w14:textId="77777777" w:rsidR="004E1EE3" w:rsidRPr="00C72BA4" w:rsidRDefault="004E1EE3" w:rsidP="004E1EE3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38BCF2AE" w14:textId="77777777" w:rsidR="004E1EE3" w:rsidRPr="00C72BA4" w:rsidRDefault="004E1EE3" w:rsidP="004E1EE3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3B6DEFE" w14:textId="77777777" w:rsidR="004E1EE3" w:rsidRPr="00C72BA4" w:rsidRDefault="004E1EE3" w:rsidP="004E1EE3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3AC51D6" w14:textId="77777777" w:rsidR="00E6740D" w:rsidRPr="00C72BA4" w:rsidRDefault="00E6740D" w:rsidP="00785512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D300C28" w14:textId="77777777" w:rsidR="00E6740D" w:rsidRPr="00C72BA4" w:rsidRDefault="00E6740D" w:rsidP="00785512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4179801" w14:textId="77777777" w:rsidR="00E6740D" w:rsidRPr="00C72BA4" w:rsidRDefault="00E6740D" w:rsidP="00785512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0753772" w14:textId="582F3162" w:rsidR="004E1EE3" w:rsidRPr="00C72BA4" w:rsidRDefault="004E1EE3" w:rsidP="00785512">
      <w:pPr>
        <w:spacing w:before="24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Na temelju članka 4</w:t>
      </w:r>
      <w:r w:rsidR="00EF0E19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5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 Zakona o proračunu („Narodne novine“,  broj 144/21) i članka 31. Statuta Općine Končanica ("Službeni glasnik Općine Končanica“, broj 1/21</w:t>
      </w:r>
      <w:r w:rsidR="00E6740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i 2/25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), a po prijedlogu Općinskog načelnika Općine Končanica, Općinsko vijeće Općine Končanica na svojoj </w:t>
      </w:r>
      <w:r w:rsidR="00E6740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2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. sjednici održanoj </w:t>
      </w:r>
      <w:r w:rsidR="00E6740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12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</w:t>
      </w:r>
      <w:r w:rsidR="00E6740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B77BE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kolovoza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7B77BE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5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 godine, donosi:</w:t>
      </w:r>
    </w:p>
    <w:p w14:paraId="3D4DF66B" w14:textId="77777777" w:rsidR="004E1EE3" w:rsidRPr="00C72BA4" w:rsidRDefault="004E1EE3" w:rsidP="004E1EE3">
      <w:pP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sectPr w:rsidR="004E1EE3" w:rsidRPr="00C72BA4" w:rsidSect="00E6740D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370A14" w14:textId="63FB06A1" w:rsidR="004E1EE3" w:rsidRPr="00C72BA4" w:rsidRDefault="004E1EE3" w:rsidP="00D56A72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C72BA4">
        <w:rPr>
          <w:rFonts w:ascii="Times New Roman" w:hAnsi="Times New Roman" w:cs="Times New Roman"/>
          <w:sz w:val="24"/>
          <w:szCs w:val="24"/>
        </w:rPr>
        <w:lastRenderedPageBreak/>
        <w:t>OBRAZLOŽENJE I. IZMJENA I DOPUNA</w:t>
      </w:r>
    </w:p>
    <w:p w14:paraId="2C8A922F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B16E4B9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sectPr w:rsidR="004E1EE3" w:rsidRPr="00C72BA4" w:rsidSect="004E1EE3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9A1A99" w14:textId="4FD7A614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Sastavni dio </w:t>
      </w:r>
      <w:r w:rsidR="00AD725B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I. </w:t>
      </w:r>
      <w:bookmarkStart w:id="2" w:name="_Hlk183605108"/>
      <w:r w:rsidR="00AD725B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Izmjena i dopuna Proračuna Općine Končanica za 202</w:t>
      </w:r>
      <w:r w:rsidR="007B77BE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5</w:t>
      </w:r>
      <w:r w:rsidR="00AD725B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. godinu </w:t>
      </w:r>
      <w:bookmarkEnd w:id="2"/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čini obrazloženje</w:t>
      </w:r>
      <w:r w:rsidR="00AD725B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 odnosno ove bilješke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. Obrazloženje </w:t>
      </w:r>
      <w:r w:rsidR="00AD725B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I. Izmjena i dopuna Proračuna Općine Končanica za 202</w:t>
      </w:r>
      <w:r w:rsidR="007B77BE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5</w:t>
      </w:r>
      <w:r w:rsidR="00AD725B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 godinu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sastoji se od obrazloženja općeg i posebnog dijela</w:t>
      </w:r>
      <w:r w:rsidR="00AD725B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 a s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ukladno članku 31. Zakona o proračunu („Narodne novine“, broj 144/21) u nastavku se daje pregled </w:t>
      </w:r>
      <w:r w:rsidR="00AD725B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istih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</w:t>
      </w:r>
    </w:p>
    <w:p w14:paraId="74FB178D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FC3705C" w14:textId="63EFA159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Predloženim I. izmjenama i dopunama Proračuna Općine Končanica za 202</w:t>
      </w:r>
      <w:r w:rsidR="007B77BE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5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. godinu prihodi i primici iznose </w:t>
      </w:r>
      <w:r w:rsidR="000F7141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3.273.830,19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eura, </w:t>
      </w:r>
      <w:r w:rsidR="000F7141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kao i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rashodi i izdaci</w:t>
      </w:r>
      <w:r w:rsidR="000F7141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</w:t>
      </w:r>
    </w:p>
    <w:p w14:paraId="67BA683D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753DDECC" w14:textId="3BB2B0FD" w:rsidR="004E1EE3" w:rsidRPr="00C72BA4" w:rsidRDefault="00C35AAB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I. </w:t>
      </w:r>
      <w:r w:rsidR="004E1EE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Izmjene i dopune Proračuna Općine Končanica za 20</w:t>
      </w:r>
      <w:r w:rsid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2</w:t>
      </w:r>
      <w:r w:rsidR="000F7141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5</w:t>
      </w:r>
      <w:r w:rsidR="004E1EE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 godinu sadrž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e</w:t>
      </w:r>
      <w:r w:rsidR="004E1EE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:</w:t>
      </w:r>
    </w:p>
    <w:p w14:paraId="619934DD" w14:textId="659EAE16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1.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>Opći dio Proračuna</w:t>
      </w:r>
      <w:r w:rsidR="009E46F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koji sadrži:</w:t>
      </w:r>
    </w:p>
    <w:p w14:paraId="4D8DECC2" w14:textId="138962BA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>a) sažetak računa prihoda i rashoda</w:t>
      </w:r>
      <w:r w:rsidR="009E46F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8C0AC96" w14:textId="189D4028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>b) sažetak računa financiranja</w:t>
      </w:r>
      <w:r w:rsidR="009E46F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</w:t>
      </w:r>
    </w:p>
    <w:p w14:paraId="72A9D5B9" w14:textId="63B2F60D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>c) račun prihoda i rashoda</w:t>
      </w:r>
      <w:r w:rsidR="009E46F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</w:t>
      </w:r>
    </w:p>
    <w:p w14:paraId="7879153C" w14:textId="58AD95CE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>d) račun financiranja</w:t>
      </w:r>
      <w:r w:rsidR="009E46F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te</w:t>
      </w:r>
    </w:p>
    <w:p w14:paraId="5830A8E3" w14:textId="1658D2C9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>e) preneseni višak/manjak prihoda nad rashodima</w:t>
      </w:r>
      <w:r w:rsidR="009E46F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</w:t>
      </w:r>
    </w:p>
    <w:p w14:paraId="5DCC03AD" w14:textId="689B1F6A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2.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>Posebni dio Proračuna sadrži</w:t>
      </w:r>
      <w:r w:rsidR="009E46F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: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6B5DD4F" w14:textId="221120C4" w:rsidR="004E1EE3" w:rsidRPr="00C72BA4" w:rsidRDefault="004E1EE3" w:rsidP="004E1EE3">
      <w:pPr>
        <w:spacing w:after="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a) plan rashoda i izdataka Proračuna Općine Končanica i proračunskih korisnika iskazanih po organizacijskoj klasifikaciji, izvorima financiranja i ekonomskoj klasifikaciji, raspoređenih u programe koji se sastoje od aktivnosti i projekata</w:t>
      </w:r>
      <w:r w:rsidR="009E46F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</w:t>
      </w:r>
    </w:p>
    <w:p w14:paraId="39F81B42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3.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 xml:space="preserve">Obrazloženje Proračuna sadrži: </w:t>
      </w:r>
    </w:p>
    <w:p w14:paraId="7E3A7AAE" w14:textId="294E7AC6" w:rsidR="004E1EE3" w:rsidRPr="00C72BA4" w:rsidRDefault="004E1EE3" w:rsidP="004E1EE3">
      <w:pPr>
        <w:spacing w:after="0"/>
        <w:ind w:left="-567" w:right="-567"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a) obrazloženje općeg dijela Proračuna </w:t>
      </w:r>
      <w:r w:rsidR="009E46F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te </w:t>
      </w:r>
    </w:p>
    <w:p w14:paraId="24815EE5" w14:textId="3416AF69" w:rsidR="004E1EE3" w:rsidRPr="00C72BA4" w:rsidRDefault="004E1EE3" w:rsidP="004E1EE3">
      <w:pPr>
        <w:spacing w:after="0"/>
        <w:ind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b)</w:t>
      </w:r>
      <w:r w:rsidR="009E46F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obrazloženje posebnog dijela Proračuna koje se temelji na obrazloženjima financijskih planova proračunskih korisnika, a sastoji se od obrazloženja programa koje se daje kroz obrazloženje aktivnosti i projekata zajedno s ciljevima i pokazateljima uspješnosti iz akta strateškog planiranja</w:t>
      </w:r>
      <w:r w:rsidR="009E46F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</w:t>
      </w:r>
    </w:p>
    <w:p w14:paraId="1222506F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974729D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U sažetku Računa prihoda i rashoda planirani su prihodi poslovanja i prihodi od prodaje nefinancijske imovine te rashodi poslovanja i rashodi za nabavu nefinancijske imovine. </w:t>
      </w:r>
    </w:p>
    <w:p w14:paraId="135DC508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0F5C8F23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U računu prihoda i rashoda prihodi i rashodi iskazani su prema izvorima financiranja i ekonomskoj klasifikaciji na razini skupine, a rashodi se još iskazuju i prema funkcijskoj klasifikaciji.</w:t>
      </w:r>
    </w:p>
    <w:p w14:paraId="6CEBF346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32E0C229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U sažetku Računa financiranja iskazani su primici od financijske imovine i zaduživanja te izdaci za financijsku imovinu i otplatu kredita i zajmova. </w:t>
      </w:r>
    </w:p>
    <w:p w14:paraId="738570F0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sectPr w:rsidR="004E1EE3" w:rsidRPr="00C72BA4" w:rsidSect="004E1EE3">
          <w:type w:val="continuous"/>
          <w:pgSz w:w="11906" w:h="16838"/>
          <w:pgMar w:top="1417" w:right="1417" w:bottom="1417" w:left="1417" w:header="708" w:footer="708" w:gutter="0"/>
          <w:pgNumType w:start="29"/>
          <w:cols w:space="708"/>
          <w:docGrid w:linePitch="360"/>
        </w:sectPr>
      </w:pPr>
    </w:p>
    <w:p w14:paraId="614AA36B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sectPr w:rsidR="004E1EE3" w:rsidRPr="00C72BA4" w:rsidSect="004E1EE3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6C2002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Račun financiranja sadrži ukupne primitke od financijske imovine i zaduživanja i izdatke za financijsku imovinu i otplate zaduživanja prema izvorima financiranja i ekonomskoj klasifikaciji na razini skupine.</w:t>
      </w:r>
    </w:p>
    <w:p w14:paraId="5A14A1ED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494D996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Posebni dio Proračuna sadrži plan rashoda i izdatka koji su raspoređeni po programima, odnosno njihovim sastavnim dijelovima (aktivnosti, tekući i kapitalni projekti), kojih su nositelji odjeli gradske uprave i njihovi proračunski korisnici. Rashodi su iskazani prema organizacijskoj klasifikaciji, izvorima financiranja  i ekonomskoj klasifikaciji na razini skupine.</w:t>
      </w:r>
    </w:p>
    <w:p w14:paraId="1DEB9F67" w14:textId="77777777" w:rsidR="004E1EE3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3D6C3D30" w14:textId="77777777" w:rsidR="00C72BA4" w:rsidRPr="00C72BA4" w:rsidRDefault="00C72BA4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sectPr w:rsidR="00C72BA4" w:rsidRPr="00C72BA4" w:rsidSect="004E1EE3">
          <w:headerReference w:type="default" r:id="rId15"/>
          <w:footerReference w:type="default" r:id="rId16"/>
          <w:type w:val="continuous"/>
          <w:pgSz w:w="11906" w:h="16838"/>
          <w:pgMar w:top="1417" w:right="1417" w:bottom="1417" w:left="1417" w:header="708" w:footer="708" w:gutter="0"/>
          <w:pgNumType w:start="21"/>
          <w:cols w:space="708"/>
          <w:docGrid w:linePitch="360"/>
        </w:sectPr>
      </w:pPr>
    </w:p>
    <w:p w14:paraId="10935EA4" w14:textId="77777777" w:rsidR="004E1EE3" w:rsidRPr="00C72BA4" w:rsidRDefault="004E1EE3" w:rsidP="004E1EE3">
      <w:pPr>
        <w:keepNext/>
        <w:keepLines/>
        <w:numPr>
          <w:ilvl w:val="1"/>
          <w:numId w:val="28"/>
        </w:numPr>
        <w:spacing w:before="12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caps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ajorEastAsia" w:hAnsi="Times New Roman" w:cs="Times New Roman"/>
          <w:b/>
          <w:caps/>
          <w:kern w:val="0"/>
          <w:sz w:val="24"/>
          <w:szCs w:val="24"/>
          <w14:ligatures w14:val="none"/>
        </w:rPr>
        <w:lastRenderedPageBreak/>
        <w:t>OBRAZLOŽENJE OPĆEG DIJELA</w:t>
      </w:r>
    </w:p>
    <w:p w14:paraId="00A27826" w14:textId="77777777" w:rsidR="004E1EE3" w:rsidRPr="00C72BA4" w:rsidRDefault="004E1EE3" w:rsidP="004E1EE3">
      <w:pPr>
        <w:spacing w:after="0"/>
        <w:ind w:left="-567"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73E7F09D" w14:textId="77777777" w:rsidR="004E1EE3" w:rsidRPr="00C72BA4" w:rsidRDefault="004E1EE3" w:rsidP="004E1EE3">
      <w:pPr>
        <w:spacing w:after="0"/>
        <w:ind w:left="-567" w:right="-567"/>
        <w:contextualSpacing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Obrazloženje općeg dijela Proračuna obuhvaća obrazloženje prihoda i rashoda te primitaka i izdataka.</w:t>
      </w:r>
    </w:p>
    <w:p w14:paraId="2406BAB0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3134B680" w14:textId="77777777" w:rsidR="004E1EE3" w:rsidRPr="00C72BA4" w:rsidRDefault="004E1EE3" w:rsidP="004E1EE3">
      <w:pPr>
        <w:numPr>
          <w:ilvl w:val="0"/>
          <w:numId w:val="12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PREGLED PLANIRANIH PRIHODA I PRIMITAKA DAJE SE U SLJEDEĆOJ TABLICI:</w:t>
      </w:r>
    </w:p>
    <w:tbl>
      <w:tblPr>
        <w:tblW w:w="9827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4207"/>
        <w:gridCol w:w="1647"/>
        <w:gridCol w:w="1200"/>
        <w:gridCol w:w="1290"/>
      </w:tblGrid>
      <w:tr w:rsidR="004E1EE3" w:rsidRPr="00C72BA4" w14:paraId="2B437792" w14:textId="77777777" w:rsidTr="00C72BA4">
        <w:trPr>
          <w:trHeight w:val="681"/>
        </w:trPr>
        <w:tc>
          <w:tcPr>
            <w:tcW w:w="14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5FE2D" w14:textId="77777777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Račun/Pozicija</w:t>
            </w:r>
          </w:p>
        </w:tc>
        <w:tc>
          <w:tcPr>
            <w:tcW w:w="42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4B4E7" w14:textId="77777777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Opis računa/pozicije</w:t>
            </w:r>
          </w:p>
        </w:tc>
        <w:tc>
          <w:tcPr>
            <w:tcW w:w="164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CD05E" w14:textId="4A289B68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Proračun 202</w:t>
            </w:r>
            <w:r w:rsidR="000F7141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="00226A34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286CE" w14:textId="77777777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Povećanje</w:t>
            </w: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Smanjenje</w:t>
            </w:r>
          </w:p>
        </w:tc>
        <w:tc>
          <w:tcPr>
            <w:tcW w:w="12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A72D0" w14:textId="185660B1" w:rsidR="004E1EE3" w:rsidRPr="00C72BA4" w:rsidRDefault="00C72BA4" w:rsidP="00C72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</w:t>
            </w:r>
            <w:r w:rsidRPr="00C7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Izmjene</w:t>
            </w:r>
            <w:proofErr w:type="spellEnd"/>
            <w:r w:rsidR="000F7141" w:rsidRPr="00C7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1EE3" w:rsidRPr="00C7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Proračun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4E1EE3" w:rsidRPr="00C7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0F7141" w:rsidRPr="00C7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E1EE3" w:rsidRPr="00C7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E1EE3" w:rsidRPr="00C72BA4" w14:paraId="0C456A25" w14:textId="77777777" w:rsidTr="00C72BA4">
        <w:trPr>
          <w:trHeight w:val="380"/>
        </w:trPr>
        <w:tc>
          <w:tcPr>
            <w:tcW w:w="148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EE5FE" w14:textId="77777777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A25D4" w14:textId="77777777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Prihodi poslovanja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A06B6" w14:textId="13266E1E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2.673.809,00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06602" w14:textId="64CA859D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408.921,19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6382A" w14:textId="061F04F0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3.082.730,19</w:t>
            </w:r>
          </w:p>
        </w:tc>
      </w:tr>
      <w:tr w:rsidR="004E1EE3" w:rsidRPr="00C72BA4" w14:paraId="1ABBA89D" w14:textId="77777777" w:rsidTr="00C72BA4">
        <w:trPr>
          <w:trHeight w:val="380"/>
        </w:trPr>
        <w:tc>
          <w:tcPr>
            <w:tcW w:w="148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5BA79" w14:textId="77777777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3" w:name="_Hlk172120224"/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F942B" w14:textId="77777777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Prihodi od poreza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1C9" w14:textId="372DE48B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475.500</w:t>
            </w:r>
            <w:r w:rsidR="00A157F6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FA6C1" w14:textId="4D9D1727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- 6.800</w:t>
            </w:r>
            <w:r w:rsidR="00A157F6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D01D3" w14:textId="2FE9D494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468.700</w:t>
            </w:r>
            <w:r w:rsidR="00A157F6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bookmarkEnd w:id="3"/>
      <w:tr w:rsidR="004E1EE3" w:rsidRPr="00C72BA4" w14:paraId="3A89A508" w14:textId="77777777" w:rsidTr="00C72BA4">
        <w:trPr>
          <w:trHeight w:val="380"/>
        </w:trPr>
        <w:tc>
          <w:tcPr>
            <w:tcW w:w="148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041EA" w14:textId="77777777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D6E4C" w14:textId="77777777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Pomoći iz inozemstva i od subjekata unutar općeg proračuna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D2D9B" w14:textId="3F9BB9F1" w:rsidR="004E1EE3" w:rsidRPr="00C72BA4" w:rsidRDefault="00A157F6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0F7141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.901.025</w:t>
            </w: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B5E89" w14:textId="434918AF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393.856</w:t>
            </w:r>
            <w:r w:rsidR="00A157F6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695B2" w14:textId="26B940DE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2.294.881</w:t>
            </w:r>
            <w:r w:rsidR="00A157F6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4E1EE3" w:rsidRPr="00C72BA4" w14:paraId="2FB56EBF" w14:textId="77777777" w:rsidTr="00C72BA4">
        <w:trPr>
          <w:trHeight w:val="380"/>
        </w:trPr>
        <w:tc>
          <w:tcPr>
            <w:tcW w:w="148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CF5CD" w14:textId="77777777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EA7C5" w14:textId="77777777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Prihodi od imovine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6F26E" w14:textId="11DA8A94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63.206</w:t>
            </w:r>
            <w:r w:rsidR="00A157F6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F32D7" w14:textId="509C1F20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17.000</w:t>
            </w:r>
            <w:r w:rsidR="00A157F6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E2384" w14:textId="2995ABA6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80.206</w:t>
            </w:r>
            <w:r w:rsidR="00A157F6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4E1EE3" w:rsidRPr="00C72BA4" w14:paraId="0BA805AE" w14:textId="77777777" w:rsidTr="00C72BA4">
        <w:trPr>
          <w:trHeight w:val="380"/>
        </w:trPr>
        <w:tc>
          <w:tcPr>
            <w:tcW w:w="148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66F86" w14:textId="77777777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1553A" w14:textId="18A497B4" w:rsidR="004E1EE3" w:rsidRPr="00C72BA4" w:rsidRDefault="004E1EE3" w:rsidP="00EF4C62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Prihodi od upravnih i administrativnih pristojbi, pristojbi po</w:t>
            </w:r>
          </w:p>
          <w:p w14:paraId="6BBF5AF9" w14:textId="77777777" w:rsidR="004E1EE3" w:rsidRPr="00C72BA4" w:rsidRDefault="004E1EE3" w:rsidP="00EF4C62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posebnim propisima i naknada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1F88C" w14:textId="005035AE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161.800</w:t>
            </w:r>
            <w:r w:rsidR="00A157F6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8D086" w14:textId="5B34E219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-47.000</w:t>
            </w:r>
            <w:r w:rsidR="00A157F6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49153" w14:textId="6BC8F000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114.800</w:t>
            </w:r>
            <w:r w:rsidR="00A157F6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4E1EE3" w:rsidRPr="00C72BA4" w14:paraId="4407D732" w14:textId="77777777" w:rsidTr="00C72BA4">
        <w:trPr>
          <w:trHeight w:val="380"/>
        </w:trPr>
        <w:tc>
          <w:tcPr>
            <w:tcW w:w="148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EA6AC" w14:textId="77777777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CF2BF" w14:textId="7D5C9221" w:rsidR="004E1EE3" w:rsidRPr="00C72BA4" w:rsidRDefault="004E1EE3" w:rsidP="00EF4C62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Prihodi od prodaje proizvoda i robe te pruženih usluga i</w:t>
            </w:r>
          </w:p>
          <w:p w14:paraId="39795032" w14:textId="77777777" w:rsidR="004E1EE3" w:rsidRPr="00C72BA4" w:rsidRDefault="004E1EE3" w:rsidP="00EF4C62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prihodi od donacija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65A96" w14:textId="0233145E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12.178</w:t>
            </w:r>
            <w:r w:rsidR="00A157F6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E372F" w14:textId="16D77379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3.00</w:t>
            </w:r>
            <w:r w:rsidR="00A157F6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7E84F" w14:textId="74AC8406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15.178</w:t>
            </w:r>
            <w:r w:rsidR="00A157F6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4E1EE3" w:rsidRPr="00C72BA4" w14:paraId="259763BA" w14:textId="77777777" w:rsidTr="00C72BA4">
        <w:trPr>
          <w:trHeight w:val="380"/>
        </w:trPr>
        <w:tc>
          <w:tcPr>
            <w:tcW w:w="148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7715A" w14:textId="77777777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481E2" w14:textId="635EEF9A" w:rsidR="004E1EE3" w:rsidRPr="00C72BA4" w:rsidRDefault="004E1EE3" w:rsidP="00EF4C62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Prihodi iz nadležnog proračuna i od HZZO-a temeljem</w:t>
            </w:r>
          </w:p>
          <w:p w14:paraId="7A977C10" w14:textId="77777777" w:rsidR="004E1EE3" w:rsidRPr="00C72BA4" w:rsidRDefault="004E1EE3" w:rsidP="00EF4C62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ugovornih obveza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F5E29" w14:textId="40E28C5D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60.000</w:t>
            </w:r>
            <w:r w:rsidR="00A157F6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C178C" w14:textId="4A62F488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48.865,19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028BA" w14:textId="2FF52AEA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108.865,19</w:t>
            </w:r>
          </w:p>
        </w:tc>
      </w:tr>
      <w:tr w:rsidR="004E1EE3" w:rsidRPr="00C72BA4" w14:paraId="5FD0C525" w14:textId="77777777" w:rsidTr="00C72BA4">
        <w:trPr>
          <w:trHeight w:val="380"/>
        </w:trPr>
        <w:tc>
          <w:tcPr>
            <w:tcW w:w="148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9AFA9" w14:textId="77777777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4BF1D" w14:textId="77777777" w:rsidR="004E1EE3" w:rsidRPr="00C72BA4" w:rsidRDefault="004E1EE3" w:rsidP="00EF4C62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Kazne, upravne mjere i ostali prihodi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47168" w14:textId="5AFB3B7C" w:rsidR="004E1EE3" w:rsidRPr="00C72BA4" w:rsidRDefault="00A157F6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F93A0" w14:textId="165D0F61" w:rsidR="004E1EE3" w:rsidRPr="00C72BA4" w:rsidRDefault="00A157F6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F29BA" w14:textId="162386CD" w:rsidR="004E1EE3" w:rsidRPr="00C72BA4" w:rsidRDefault="00A157F6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100,00</w:t>
            </w:r>
          </w:p>
        </w:tc>
      </w:tr>
      <w:tr w:rsidR="004E1EE3" w:rsidRPr="00C72BA4" w14:paraId="115CE05B" w14:textId="77777777" w:rsidTr="00C72BA4">
        <w:trPr>
          <w:trHeight w:val="380"/>
        </w:trPr>
        <w:tc>
          <w:tcPr>
            <w:tcW w:w="148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810F4" w14:textId="77777777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F4BCB" w14:textId="77777777" w:rsidR="004E1EE3" w:rsidRPr="00C72BA4" w:rsidRDefault="004E1EE3" w:rsidP="00EF4C62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Prihodi od prodaje nefinancijske imovine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B547B" w14:textId="12E5F422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A157F6"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4D332" w14:textId="3C02EEDC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6D6D7" w14:textId="65A8CCD2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1.100,</w:t>
            </w:r>
            <w:r w:rsidR="00A157F6"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00</w:t>
            </w:r>
          </w:p>
        </w:tc>
      </w:tr>
      <w:tr w:rsidR="004E1EE3" w:rsidRPr="00C72BA4" w14:paraId="725258C7" w14:textId="77777777" w:rsidTr="00C72BA4">
        <w:trPr>
          <w:trHeight w:val="380"/>
        </w:trPr>
        <w:tc>
          <w:tcPr>
            <w:tcW w:w="148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7CC44" w14:textId="77777777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411F0" w14:textId="77777777" w:rsidR="004E1EE3" w:rsidRPr="00C72BA4" w:rsidRDefault="004E1EE3" w:rsidP="00EF4C62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Prihodi od prodaje </w:t>
            </w:r>
            <w:proofErr w:type="spellStart"/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neproizvedene</w:t>
            </w:r>
            <w:proofErr w:type="spellEnd"/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dugotrajne imovine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0F7BC" w14:textId="347E4283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A157F6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CAF13" w14:textId="237B82A2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="00A157F6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56C8E" w14:textId="6EBA15C3" w:rsidR="004E1EE3" w:rsidRPr="00C72BA4" w:rsidRDefault="000F7141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A157F6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.000,00</w:t>
            </w:r>
          </w:p>
        </w:tc>
      </w:tr>
      <w:tr w:rsidR="004E1EE3" w:rsidRPr="00C72BA4" w14:paraId="58612E50" w14:textId="77777777" w:rsidTr="00C72BA4">
        <w:trPr>
          <w:trHeight w:val="380"/>
        </w:trPr>
        <w:tc>
          <w:tcPr>
            <w:tcW w:w="148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4B849" w14:textId="77777777" w:rsidR="004E1EE3" w:rsidRPr="00C72BA4" w:rsidRDefault="004E1EE3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EBB3D" w14:textId="77777777" w:rsidR="004E1EE3" w:rsidRPr="00C72BA4" w:rsidRDefault="004E1EE3" w:rsidP="00EF4C62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Prihodi od prodaje proizvedene dugotrajne imovine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1CA28" w14:textId="3291BECC" w:rsidR="004E1EE3" w:rsidRPr="00C72BA4" w:rsidRDefault="00A157F6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546D0" w14:textId="03D69168" w:rsidR="004E1EE3" w:rsidRPr="00C72BA4" w:rsidRDefault="00A157F6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A4AB7" w14:textId="2192D6BF" w:rsidR="004E1EE3" w:rsidRPr="00C72BA4" w:rsidRDefault="00A157F6" w:rsidP="00EF4C62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100,00</w:t>
            </w:r>
          </w:p>
        </w:tc>
      </w:tr>
    </w:tbl>
    <w:p w14:paraId="0C18D835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03138B6D" w14:textId="7B728A9F" w:rsidR="004E1EE3" w:rsidRDefault="00F7104E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I. </w:t>
      </w:r>
      <w:r w:rsidR="004E1EE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Izmjenama i dopunama Proračuna Općine Končanica za 202</w:t>
      </w:r>
      <w:r w:rsidR="000F7141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5</w:t>
      </w:r>
      <w:r w:rsidR="004E1EE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. godinu planiraju se prihodi u iznosu od </w:t>
      </w:r>
      <w:r w:rsidR="000F7141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3.083.830,19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E1EE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eura.</w:t>
      </w:r>
    </w:p>
    <w:p w14:paraId="08761223" w14:textId="77777777" w:rsidR="00C72BA4" w:rsidRPr="00C72BA4" w:rsidRDefault="00C72BA4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1FD88441" w14:textId="246B6137" w:rsidR="004E1EE3" w:rsidRPr="00C72BA4" w:rsidRDefault="004E1EE3" w:rsidP="00744414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sectPr w:rsidR="004E1EE3" w:rsidRPr="00C72BA4" w:rsidSect="004E1EE3">
          <w:type w:val="continuous"/>
          <w:pgSz w:w="11906" w:h="16838"/>
          <w:pgMar w:top="1417" w:right="1417" w:bottom="1417" w:left="1417" w:header="708" w:footer="708" w:gutter="0"/>
          <w:pgNumType w:start="29"/>
          <w:cols w:space="708"/>
          <w:docGrid w:linePitch="360"/>
        </w:sect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Prihodi poslovanja su </w:t>
      </w:r>
      <w:r w:rsidR="000F7141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povećani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u odnosu na </w:t>
      </w:r>
      <w:r w:rsidR="000F7141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Plan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za </w:t>
      </w:r>
      <w:r w:rsidR="000F7141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408.921,19</w:t>
      </w:r>
      <w:r w:rsidRPr="00C72BA4">
        <w:rPr>
          <w:rFonts w:ascii="Times New Roman" w:eastAsiaTheme="minorEastAsia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eura</w:t>
      </w:r>
      <w:r w:rsidR="0074441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pa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4441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tako </w:t>
      </w:r>
      <w:r w:rsidR="000F7141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prvim izmjenama i dopunama plana za 2025.g </w:t>
      </w:r>
      <w:r w:rsidR="0074441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iznose </w:t>
      </w:r>
      <w:r w:rsidR="000F7141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3.08</w:t>
      </w:r>
      <w:r w:rsidR="00D251E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2</w:t>
      </w:r>
      <w:r w:rsidR="000F7141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</w:t>
      </w:r>
      <w:r w:rsidR="00D251E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7</w:t>
      </w:r>
      <w:r w:rsidR="000F7141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30,19</w:t>
      </w:r>
      <w:r w:rsidR="0074441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eura.</w:t>
      </w:r>
    </w:p>
    <w:p w14:paraId="5056792C" w14:textId="2C8EDCA7" w:rsidR="004E1EE3" w:rsidRPr="00C72BA4" w:rsidRDefault="004E1EE3" w:rsidP="00744414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Prihodi od poreza iznose </w:t>
      </w:r>
      <w:r w:rsidR="00D251E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468.700</w:t>
      </w:r>
      <w:r w:rsidR="0074441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00 eura što je </w:t>
      </w:r>
      <w:r w:rsidR="00D251E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manje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za </w:t>
      </w:r>
      <w:r w:rsidR="0074441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6.</w:t>
      </w:r>
      <w:r w:rsidR="00D251E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8</w:t>
      </w:r>
      <w:r w:rsidR="0074441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00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,00 eura u odnosu na </w:t>
      </w:r>
      <w:r w:rsidR="00D251E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plan</w:t>
      </w:r>
      <w:r w:rsidR="0074441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i to zbog </w:t>
      </w:r>
      <w:r w:rsidR="00D251E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smanjenja</w:t>
      </w:r>
      <w:r w:rsidR="0074441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u istom iznosu na </w:t>
      </w:r>
      <w:r w:rsidR="00773036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konto 61111 P</w:t>
      </w:r>
      <w:r w:rsidR="0074441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orez i prirez na dohodak</w:t>
      </w:r>
      <w:r w:rsidR="00773036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 Ostale stavke (porez na kuće za odmor, porez na korištenje javnih površina, porez na promet nekretnina te porezna potrošnju alkoholnih i bezalkoholnih pića) ostaju bez izmjena.</w:t>
      </w:r>
    </w:p>
    <w:p w14:paraId="74AB52EF" w14:textId="77777777" w:rsidR="00242874" w:rsidRPr="00C72BA4" w:rsidRDefault="00242874" w:rsidP="00744414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F90DC08" w14:textId="2304B929" w:rsidR="004E1EE3" w:rsidRPr="00C72BA4" w:rsidRDefault="004E1EE3" w:rsidP="00610EEA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Prihodi od pomoći iz inozemstva i od subjekata unutar općeg proračuna iznose </w:t>
      </w:r>
      <w:r w:rsidR="00D251E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2.294.881,00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eura što je </w:t>
      </w:r>
      <w:r w:rsidR="00D251E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povećanje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od </w:t>
      </w:r>
      <w:r w:rsidR="00D251E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393.856,00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eura.</w:t>
      </w:r>
    </w:p>
    <w:p w14:paraId="0FDA2C3D" w14:textId="49B0AFED" w:rsidR="00C65E08" w:rsidRPr="00C72BA4" w:rsidRDefault="004E1EE3" w:rsidP="00C65E08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lastRenderedPageBreak/>
        <w:t xml:space="preserve">Prihodi od upravnih i administrativnih pristojbi, pristojbi po posebnim propisima i naknada </w:t>
      </w:r>
      <w:r w:rsidR="00C65E08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prv</w:t>
      </w:r>
      <w:r w:rsid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otno</w:t>
      </w:r>
      <w:r w:rsidR="00C65E08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su</w:t>
      </w:r>
      <w:r w:rsidR="00C65E08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planirani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u iznosu od </w:t>
      </w:r>
      <w:r w:rsidR="00D251E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161.800</w:t>
      </w:r>
      <w:r w:rsidR="00C65E08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,00 eura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 a ovim izmjenama i dopunama navedeni prihod</w:t>
      </w:r>
      <w:r w:rsid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iznos</w:t>
      </w:r>
      <w:r w:rsidR="0074349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e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251E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114.800</w:t>
      </w:r>
      <w:r w:rsidR="00C65E08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,00 eura, što čini </w:t>
      </w:r>
      <w:r w:rsidR="00D251E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smanjenje </w:t>
      </w:r>
      <w:r w:rsidR="00C65E08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u iznosu od </w:t>
      </w:r>
      <w:r w:rsidR="00D251E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47.000</w:t>
      </w:r>
      <w:r w:rsidR="00C65E08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,00 eura. </w:t>
      </w:r>
    </w:p>
    <w:p w14:paraId="0A2B9ACF" w14:textId="77777777" w:rsidR="00D251ED" w:rsidRPr="00C72BA4" w:rsidRDefault="00D251ED" w:rsidP="00C65E08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0C5D2878" w14:textId="02ABC9B5" w:rsidR="00D251ED" w:rsidRPr="00C72BA4" w:rsidRDefault="00D251ED" w:rsidP="00C65E08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Prihodi od prodaje proizvoda i robe te pruženih usluga, prihodi od donacije te povrati po protestiranim jamstvima iznose 15.178,00 eura što je povećanje u odnosu na plan za 3.000,00 eura.</w:t>
      </w:r>
    </w:p>
    <w:p w14:paraId="086DC9E6" w14:textId="77777777" w:rsidR="00C65E08" w:rsidRPr="00C72BA4" w:rsidRDefault="00C65E08" w:rsidP="00C65E08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7904802E" w14:textId="7163EE03" w:rsidR="00D251ED" w:rsidRPr="00C72BA4" w:rsidRDefault="00D251ED" w:rsidP="00C65E08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Prihodi iz nadležnog proračuna i od HZZO-a temeljem ugovorenih obveza se povećavaju za 48.865,19 eura te iznose 108.865,19 eura.</w:t>
      </w:r>
    </w:p>
    <w:p w14:paraId="79F3FC0B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0191DD2" w14:textId="77777777" w:rsidR="004E1EE3" w:rsidRPr="00C72BA4" w:rsidRDefault="004E1EE3" w:rsidP="004E1EE3">
      <w:pPr>
        <w:numPr>
          <w:ilvl w:val="0"/>
          <w:numId w:val="12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PREGLED PLANIRANIH RASHODA I IZDATAKA DAJE SE U SLJEDEĆOJ TABLICI:</w:t>
      </w:r>
    </w:p>
    <w:tbl>
      <w:tblPr>
        <w:tblW w:w="90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412"/>
        <w:gridCol w:w="1587"/>
        <w:gridCol w:w="1110"/>
        <w:gridCol w:w="1290"/>
      </w:tblGrid>
      <w:tr w:rsidR="004E1EE3" w:rsidRPr="00C72BA4" w14:paraId="51FA0C9A" w14:textId="77777777" w:rsidTr="008C4024">
        <w:trPr>
          <w:trHeight w:val="846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BFB86" w14:textId="77777777" w:rsidR="004E1EE3" w:rsidRPr="00C72BA4" w:rsidRDefault="004E1EE3" w:rsidP="00627694">
            <w:pPr>
              <w:ind w:right="46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Račun</w:t>
            </w:r>
          </w:p>
        </w:tc>
        <w:tc>
          <w:tcPr>
            <w:tcW w:w="4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D417C" w14:textId="77777777" w:rsidR="004E1EE3" w:rsidRPr="00C72BA4" w:rsidRDefault="004E1EE3" w:rsidP="00627694">
            <w:pPr>
              <w:ind w:right="46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Naziv računa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60AFD" w14:textId="0344E34D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Proračun 202</w:t>
            </w:r>
            <w:r w:rsidR="00C460CC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056B1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Povećanje</w:t>
            </w: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Smanjenje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A826A" w14:textId="68B38635" w:rsidR="004E1EE3" w:rsidRPr="00C72BA4" w:rsidRDefault="006B4A96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I.Izmjene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4E1EE3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Proračun</w:t>
            </w:r>
            <w:r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="004E1EE3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202</w:t>
            </w:r>
            <w:r w:rsidR="00C460CC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</w:t>
            </w:r>
          </w:p>
        </w:tc>
      </w:tr>
      <w:tr w:rsidR="004E1EE3" w:rsidRPr="00C72BA4" w14:paraId="60C99E15" w14:textId="77777777" w:rsidTr="008C4024">
        <w:trPr>
          <w:trHeight w:val="341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23F99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E8748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Rashodi poslovanja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89F90" w14:textId="0C0A9E82" w:rsidR="00C460CC" w:rsidRPr="00C72BA4" w:rsidRDefault="00C460CC" w:rsidP="0062769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1.577.009,00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E246A" w14:textId="055B3A4C" w:rsidR="004E1EE3" w:rsidRPr="00C72BA4" w:rsidRDefault="00C460CC" w:rsidP="0062769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77.121,19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7CCD3" w14:textId="01E3C9AE" w:rsidR="004E1EE3" w:rsidRPr="00C72BA4" w:rsidRDefault="00C460CC" w:rsidP="00C460CC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1.654,130,19</w:t>
            </w:r>
          </w:p>
        </w:tc>
      </w:tr>
      <w:tr w:rsidR="004E1EE3" w:rsidRPr="00C72BA4" w14:paraId="7FFEFC51" w14:textId="77777777" w:rsidTr="008C4024">
        <w:trPr>
          <w:trHeight w:val="324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266E5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21BD0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Rashodi za zaposlene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1AC04" w14:textId="630CD242" w:rsidR="004E1EE3" w:rsidRPr="00C72BA4" w:rsidRDefault="00C460C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731.698,00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0EACC" w14:textId="0DEE9A93" w:rsidR="004E1EE3" w:rsidRPr="00C72BA4" w:rsidRDefault="00C460C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71.521,19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C69AE" w14:textId="1159779D" w:rsidR="004E1EE3" w:rsidRPr="00C72BA4" w:rsidRDefault="00C460C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803.219,19</w:t>
            </w:r>
          </w:p>
        </w:tc>
      </w:tr>
      <w:tr w:rsidR="004E1EE3" w:rsidRPr="00C72BA4" w14:paraId="2B3868D1" w14:textId="77777777" w:rsidTr="008C4024">
        <w:trPr>
          <w:trHeight w:val="324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2B3E5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4" w:name="_Hlk183610128"/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C5DC9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Materijalni rashodi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6E320" w14:textId="49B76751" w:rsidR="004E1EE3" w:rsidRPr="00C72BA4" w:rsidRDefault="00C460C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514.985,00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42D40" w14:textId="1BF20C5A" w:rsidR="004E1EE3" w:rsidRPr="00C72BA4" w:rsidRDefault="00C460C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-11.300,00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8B5EF" w14:textId="27BAEB38" w:rsidR="004E1EE3" w:rsidRPr="00C72BA4" w:rsidRDefault="00C460C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503.685,00</w:t>
            </w:r>
          </w:p>
        </w:tc>
      </w:tr>
      <w:bookmarkEnd w:id="4"/>
      <w:tr w:rsidR="004E1EE3" w:rsidRPr="00C72BA4" w14:paraId="5E1005D9" w14:textId="77777777" w:rsidTr="008C4024">
        <w:trPr>
          <w:trHeight w:val="324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9EF58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FDF82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Financijski rashodi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E3E36" w14:textId="4C7D12F2" w:rsidR="004E1EE3" w:rsidRPr="00C72BA4" w:rsidRDefault="00C460C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8.226,</w:t>
            </w:r>
            <w:r w:rsidR="0031060F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5A277" w14:textId="0BEA0A55" w:rsidR="004E1EE3" w:rsidRPr="00C72BA4" w:rsidRDefault="00D4256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="0031060F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68B04" w14:textId="52F10C2E" w:rsidR="004E1EE3" w:rsidRPr="00C72BA4" w:rsidRDefault="0031060F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8.2</w:t>
            </w:r>
            <w:r w:rsidR="00D4256C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6,00</w:t>
            </w:r>
          </w:p>
        </w:tc>
      </w:tr>
      <w:tr w:rsidR="004E1EE3" w:rsidRPr="00C72BA4" w14:paraId="715D89E1" w14:textId="77777777" w:rsidTr="008C4024">
        <w:trPr>
          <w:trHeight w:val="324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D372A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A1E3A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Subvencije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653FD" w14:textId="45488A08" w:rsidR="004E1EE3" w:rsidRPr="00C72BA4" w:rsidRDefault="0031060F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7.300,00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0DE3D" w14:textId="1F7483DF" w:rsidR="004E1EE3" w:rsidRPr="00C72BA4" w:rsidRDefault="00D4256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8.400</w:t>
            </w:r>
            <w:r w:rsidR="0031060F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A8F05" w14:textId="6FCE6047" w:rsidR="004E1EE3" w:rsidRPr="00C72BA4" w:rsidRDefault="00D4256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15.7</w:t>
            </w:r>
            <w:r w:rsidR="0031060F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00,00</w:t>
            </w:r>
          </w:p>
        </w:tc>
      </w:tr>
      <w:tr w:rsidR="004E1EE3" w:rsidRPr="00C72BA4" w14:paraId="702A3640" w14:textId="77777777" w:rsidTr="008C4024">
        <w:trPr>
          <w:trHeight w:val="324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F7F7D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5" w:name="_Hlk183610162"/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AB6E7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Pomoći dane u inozemstvo i unutar općeg proračuna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7833F" w14:textId="42537A9F" w:rsidR="004E1EE3" w:rsidRPr="00C72BA4" w:rsidRDefault="00D4256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104.500,</w:t>
            </w:r>
            <w:r w:rsidR="0031060F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30517" w14:textId="27D26C88" w:rsidR="004E1EE3" w:rsidRPr="00C72BA4" w:rsidRDefault="00D4256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="0031060F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73146" w14:textId="36D7BD55" w:rsidR="004E1EE3" w:rsidRPr="00C72BA4" w:rsidRDefault="00D4256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104.500</w:t>
            </w:r>
            <w:r w:rsidR="0031060F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4E1EE3" w:rsidRPr="00C72BA4" w14:paraId="21F776CB" w14:textId="77777777" w:rsidTr="008C4024">
        <w:trPr>
          <w:trHeight w:val="324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01DB4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6" w:name="_Hlk183610543"/>
            <w:bookmarkEnd w:id="5"/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03DF5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5C95B" w14:textId="261861B9" w:rsidR="004E1EE3" w:rsidRPr="00C72BA4" w:rsidRDefault="00D4256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52.500</w:t>
            </w:r>
            <w:r w:rsidR="0031060F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A6A5E" w14:textId="438ACE9F" w:rsidR="004E1EE3" w:rsidRPr="00C72BA4" w:rsidRDefault="00D4256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="00366B23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F8ED6" w14:textId="3D00F27F" w:rsidR="004E1EE3" w:rsidRPr="00C72BA4" w:rsidRDefault="00366B2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="0031060F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D4256C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.500</w:t>
            </w:r>
            <w:r w:rsidR="0031060F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bookmarkEnd w:id="6"/>
      <w:tr w:rsidR="004E1EE3" w:rsidRPr="00C72BA4" w14:paraId="6904A98D" w14:textId="77777777" w:rsidTr="008C4024">
        <w:trPr>
          <w:trHeight w:val="324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5156D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3BB9B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Ostali rashodi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10E50" w14:textId="48409799" w:rsidR="004E1EE3" w:rsidRPr="00C72BA4" w:rsidRDefault="00D4256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157.800</w:t>
            </w:r>
            <w:r w:rsidR="0031060F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EE735" w14:textId="31F09A1A" w:rsidR="004E1EE3" w:rsidRPr="00C72BA4" w:rsidRDefault="00D4256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8.500,</w:t>
            </w:r>
            <w:r w:rsidR="0031060F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8B56B" w14:textId="049DBA0A" w:rsidR="004E1EE3" w:rsidRPr="00C72BA4" w:rsidRDefault="00D4256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166.300</w:t>
            </w:r>
            <w:r w:rsidR="0031060F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4E1EE3" w:rsidRPr="00C72BA4" w14:paraId="4B7D8103" w14:textId="77777777" w:rsidTr="008C4024">
        <w:trPr>
          <w:trHeight w:val="341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984B3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7" w:name="_Hlk172182614"/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4B83F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Rashodi za nabavu nefinancijske imovine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D0E0B" w14:textId="2A5B3210" w:rsidR="004E1EE3" w:rsidRPr="00C72BA4" w:rsidRDefault="0031060F" w:rsidP="0062769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 w:rsidR="00D4256C"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097.900</w:t>
            </w: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0AEF0" w14:textId="6A5C8D24" w:rsidR="004E1EE3" w:rsidRPr="00C72BA4" w:rsidRDefault="00D4256C" w:rsidP="0062769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361.800</w:t>
            </w:r>
            <w:r w:rsidR="0031060F"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3F93D" w14:textId="3FDC9A58" w:rsidR="004E1EE3" w:rsidRPr="00C72BA4" w:rsidRDefault="00D4256C" w:rsidP="0062769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1.459.700</w:t>
            </w:r>
            <w:r w:rsidR="0031060F"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bookmarkEnd w:id="7"/>
      <w:tr w:rsidR="004E1EE3" w:rsidRPr="00C72BA4" w14:paraId="30782605" w14:textId="77777777" w:rsidTr="008C4024">
        <w:trPr>
          <w:trHeight w:val="341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B20A4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FF12C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Rashodi za nabavu </w:t>
            </w:r>
            <w:proofErr w:type="spellStart"/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neproizvedene</w:t>
            </w:r>
            <w:proofErr w:type="spellEnd"/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dugotrajne imovine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3E44C" w14:textId="7F2A0FB6" w:rsidR="004E1EE3" w:rsidRPr="00C72BA4" w:rsidRDefault="00D4256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1.000</w:t>
            </w:r>
            <w:r w:rsidR="0031060F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A241A" w14:textId="06D30C29" w:rsidR="004E1EE3" w:rsidRPr="00C72BA4" w:rsidRDefault="00D4256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="0031060F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7FA3E" w14:textId="7C2E2EB0" w:rsidR="004E1EE3" w:rsidRPr="00C72BA4" w:rsidRDefault="00D4256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1.000</w:t>
            </w:r>
            <w:r w:rsidR="0031060F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4E1EE3" w:rsidRPr="00C72BA4" w14:paraId="09FA4C79" w14:textId="77777777" w:rsidTr="008C4024">
        <w:trPr>
          <w:trHeight w:val="324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74D49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C973B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Rashodi za nabavu proizvedene dugotrajne imovine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25E45" w14:textId="1FEAC0EA" w:rsidR="004E1EE3" w:rsidRPr="00C72BA4" w:rsidRDefault="0031060F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 w:rsidR="00D4256C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096.900</w:t>
            </w: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73A82" w14:textId="740C0A33" w:rsidR="004E1EE3" w:rsidRPr="00C72BA4" w:rsidRDefault="00D4256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361.800</w:t>
            </w:r>
            <w:r w:rsidR="0031060F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C64F8" w14:textId="679AD565" w:rsidR="004E1EE3" w:rsidRPr="00C72BA4" w:rsidRDefault="00D4256C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1.458.700</w:t>
            </w:r>
            <w:r w:rsidR="0031060F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4E1EE3" w:rsidRPr="00C72BA4" w14:paraId="207BF6F5" w14:textId="77777777" w:rsidTr="008C4024">
        <w:trPr>
          <w:trHeight w:val="324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47148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AC141" w14:textId="77777777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Pomoći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4BC3E" w14:textId="58D9FC2D" w:rsidR="004E1EE3" w:rsidRPr="00C72BA4" w:rsidRDefault="00F63D44" w:rsidP="0062769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100.000,00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68A5C" w14:textId="20D4F6E2" w:rsidR="004E1EE3" w:rsidRPr="00C72BA4" w:rsidRDefault="00F63D44" w:rsidP="0062769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60.000</w:t>
            </w:r>
            <w:r w:rsidR="0031060F"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6E495" w14:textId="525F0B7D" w:rsidR="004E1EE3" w:rsidRPr="00C72BA4" w:rsidRDefault="0031060F" w:rsidP="0062769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F63D44"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60.000,</w:t>
            </w:r>
            <w:r w:rsidRPr="00C72BA4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00</w:t>
            </w:r>
          </w:p>
        </w:tc>
      </w:tr>
      <w:tr w:rsidR="004E1EE3" w:rsidRPr="00C72BA4" w14:paraId="127662C3" w14:textId="77777777" w:rsidTr="008C4024">
        <w:trPr>
          <w:trHeight w:val="324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DCBC7" w14:textId="72B99D1C" w:rsidR="004E1EE3" w:rsidRPr="00C72BA4" w:rsidRDefault="004E1EE3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="00F63D44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F62AA" w14:textId="68AA1296" w:rsidR="004E1EE3" w:rsidRPr="00C72BA4" w:rsidRDefault="00F63D44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Izdaci za financijsku imovinu i otplate zajmova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8F7A3" w14:textId="3CFD19B5" w:rsidR="004E1EE3" w:rsidRPr="00C72BA4" w:rsidRDefault="00C32188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100.000,00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106ED" w14:textId="43A68ADC" w:rsidR="00C32188" w:rsidRPr="00C72BA4" w:rsidRDefault="00C32188" w:rsidP="0074349C">
            <w:pPr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60.000</w:t>
            </w:r>
            <w:r w:rsidR="0074349C"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37C5A" w14:textId="394042E9" w:rsidR="004E1EE3" w:rsidRPr="00C72BA4" w:rsidRDefault="00C32188" w:rsidP="00627694">
            <w:pPr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72BA4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160.000,00</w:t>
            </w:r>
          </w:p>
        </w:tc>
      </w:tr>
    </w:tbl>
    <w:p w14:paraId="7CBD9069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0F5A1198" w14:textId="032F5FC2" w:rsidR="004E1EE3" w:rsidRPr="00C72BA4" w:rsidRDefault="00627694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color w:val="FF0000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I. </w:t>
      </w:r>
      <w:r w:rsidR="004E1EE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Izmjenama i dopunama Proračuna Općine Končanica za 202</w:t>
      </w:r>
      <w:r w:rsidR="00D4256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5</w:t>
      </w:r>
      <w:r w:rsidR="004E1EE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. godinu planiraju se rashodi u iznosu od </w:t>
      </w:r>
      <w:r w:rsidR="00D4256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3.113.830,19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E1EE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eura.</w:t>
      </w:r>
    </w:p>
    <w:p w14:paraId="0D61BB08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7950C7F7" w14:textId="07693D3E" w:rsidR="004E1EE3" w:rsidRPr="00C72BA4" w:rsidRDefault="004E1EE3" w:rsidP="00B616A2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Najveći udio u strukturi rashoda i izdataka čine </w:t>
      </w:r>
      <w:r w:rsidR="00A71F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Rashodi poslovanja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 kako je i prikazano u prethodnoj tablici, u iznosu od 1.</w:t>
      </w:r>
      <w:r w:rsidR="00D4256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654.130,19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71F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eura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. Iste sačinjavaju </w:t>
      </w:r>
      <w:r w:rsidR="00A71F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Rashodi za zaposlene (</w:t>
      </w:r>
      <w:r w:rsidR="00D4256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803.219,19</w:t>
      </w:r>
      <w:r w:rsidR="00A71F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eura), Materijalni rashodi </w:t>
      </w:r>
      <w:r w:rsidR="00A71F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lastRenderedPageBreak/>
        <w:t>(</w:t>
      </w:r>
      <w:r w:rsidR="00D4256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503.685,00</w:t>
      </w:r>
      <w:r w:rsidR="00A71F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eura), Financijski rashodi (8.2</w:t>
      </w:r>
      <w:r w:rsidR="00D4256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2</w:t>
      </w:r>
      <w:r w:rsidR="00A71F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6,00 eura), Subvencije (</w:t>
      </w:r>
      <w:r w:rsidR="00D4256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15.700</w:t>
      </w:r>
      <w:r w:rsidR="00A71F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,00 eura), Pomoći dane u inozemstvo i unutar općeg proračuna (</w:t>
      </w:r>
      <w:r w:rsidR="00D4256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104.500</w:t>
      </w:r>
      <w:r w:rsidR="00A71F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,00 eura), Naknade građanima i kućanstvima na temelju osiguranja i druge naknade (</w:t>
      </w:r>
      <w:r w:rsidR="0016383B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5</w:t>
      </w:r>
      <w:r w:rsidR="00A71F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2.</w:t>
      </w:r>
      <w:r w:rsidR="00D4256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50</w:t>
      </w:r>
      <w:r w:rsidR="00A71F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0,00 eura) te Ostali rashodi (</w:t>
      </w:r>
      <w:r w:rsidR="00D4256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166.300</w:t>
      </w:r>
      <w:r w:rsidR="00A71F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,00 eura).</w:t>
      </w:r>
    </w:p>
    <w:p w14:paraId="2B14596D" w14:textId="77777777" w:rsidR="004E1EE3" w:rsidRPr="00C72BA4" w:rsidRDefault="004E1EE3" w:rsidP="00B616A2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1809978E" w14:textId="76B8BA64" w:rsidR="00B616A2" w:rsidRPr="00C72BA4" w:rsidRDefault="004E1EE3" w:rsidP="00B616A2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U rashodima poslovanja vidljivo je </w:t>
      </w:r>
      <w:r w:rsidR="00B616A2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povećanje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u iznosu od</w:t>
      </w:r>
      <w:r w:rsidR="00B616A2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4256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77.121,19</w:t>
      </w:r>
      <w:r w:rsidR="00B616A2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eura kod konta 31 Rashodi za zaposlene</w:t>
      </w:r>
      <w:r w:rsidR="00B616A2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s obzirom na povećanje plaća</w:t>
      </w:r>
      <w:r w:rsidR="00D4256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5442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zaposlenicima Č</w:t>
      </w:r>
      <w:r w:rsidR="006E6D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eškog dječjeg vrtića Končanica.</w:t>
      </w:r>
    </w:p>
    <w:p w14:paraId="2121DC2F" w14:textId="0296048E" w:rsidR="00B616A2" w:rsidRPr="00C72BA4" w:rsidRDefault="006E6D17" w:rsidP="00B616A2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Smanjeni su</w:t>
      </w:r>
      <w:r w:rsidR="00B616A2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i Materijalni rashodi za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11.300</w:t>
      </w:r>
      <w:r w:rsidR="00B616A2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,00 eura zbog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smanjenja usluga tekućeg i investicijskog održavanja postrojenja i opreme kako Češkog </w:t>
      </w:r>
      <w:r w:rsidR="0065442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dječjeg vrtića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Končanica tako i općine, geodetsko</w:t>
      </w:r>
      <w:r w:rsidR="006B4A9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-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katastarske usluge i ostale usluge. </w:t>
      </w:r>
    </w:p>
    <w:p w14:paraId="2091BFA1" w14:textId="77777777" w:rsidR="00B616A2" w:rsidRPr="00C72BA4" w:rsidRDefault="00B616A2" w:rsidP="001B790A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13766F73" w14:textId="54D2BDE6" w:rsidR="001B790A" w:rsidRPr="00C72BA4" w:rsidRDefault="004E1EE3" w:rsidP="001B790A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Financijski rashodi </w:t>
      </w:r>
      <w:r w:rsidR="001B790A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 izmjenama</w:t>
      </w:r>
      <w:r w:rsidR="006E6D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su ostali nepromijenjeni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</w:t>
      </w:r>
    </w:p>
    <w:p w14:paraId="6DCE1B63" w14:textId="77777777" w:rsidR="001B790A" w:rsidRPr="00C72BA4" w:rsidRDefault="001B790A" w:rsidP="000745C4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3F96836" w14:textId="40539D4B" w:rsidR="000745C4" w:rsidRPr="00C72BA4" w:rsidRDefault="004E1EE3" w:rsidP="000745C4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Subvencije su </w:t>
      </w:r>
      <w:r w:rsidR="006E6D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se povećale za 8.400,00 eura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u odnosu na </w:t>
      </w:r>
      <w:r w:rsidR="006E6D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Plan za 2025.g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6E6D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zbog povećanja poticaja za poduzetnike na prostoru općine (poticaj za svaku mjeru prema programu poticanja poduzetništva iznosi 2.000,00 eura). </w:t>
      </w:r>
    </w:p>
    <w:p w14:paraId="4AC9393F" w14:textId="77777777" w:rsidR="000745C4" w:rsidRPr="00C72BA4" w:rsidRDefault="000745C4" w:rsidP="000745C4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6B76677" w14:textId="5F93D917" w:rsidR="004E1EE3" w:rsidRPr="00C72BA4" w:rsidRDefault="004E1EE3" w:rsidP="000745C4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color w:val="FF0000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Naknade građanima i kućanstvima na temelju osiguranja i druge naknade </w:t>
      </w:r>
      <w:r w:rsidR="006E6D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su ostale nepromijenjene. </w:t>
      </w:r>
    </w:p>
    <w:p w14:paraId="04E2C218" w14:textId="77777777" w:rsidR="004E1EE3" w:rsidRPr="00C72BA4" w:rsidRDefault="004E1EE3" w:rsidP="00EB06E7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2AF0550D" w14:textId="2DA2E2C5" w:rsidR="002635F8" w:rsidRPr="00C72BA4" w:rsidRDefault="004E1EE3" w:rsidP="00EB06E7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Osta</w:t>
      </w:r>
      <w:r w:rsidR="006E6D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li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rashod</w:t>
      </w:r>
      <w:r w:rsidR="006E6D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E6D17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se povećavaju za 8.500,00 eura te iznose 166.300,00 eura a odnose se na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2188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redovan rad </w:t>
      </w:r>
      <w:r w:rsidR="0065442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LU</w:t>
      </w:r>
      <w:r w:rsidR="00C32188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“Vidra“ i socijalne pomoći prema građanstvu.</w:t>
      </w:r>
    </w:p>
    <w:p w14:paraId="32B6F98E" w14:textId="77777777" w:rsidR="002635F8" w:rsidRPr="00C72BA4" w:rsidRDefault="002635F8" w:rsidP="009626E7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4898FE4" w14:textId="77777777" w:rsidR="003979D9" w:rsidRPr="00C72BA4" w:rsidRDefault="004E1EE3" w:rsidP="009626E7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shd w:val="clear" w:color="auto" w:fill="FFFFFF" w:themeFill="background1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:shd w:val="clear" w:color="auto" w:fill="FFFFFF" w:themeFill="background1"/>
          <w14:ligatures w14:val="none"/>
        </w:rPr>
        <w:t xml:space="preserve">Rashodi za nabavu nefinancijske imovine </w:t>
      </w:r>
      <w:r w:rsidR="003979D9" w:rsidRPr="00C72BA4">
        <w:rPr>
          <w:rFonts w:ascii="Times New Roman" w:eastAsiaTheme="minorEastAsia" w:hAnsi="Times New Roman" w:cs="Times New Roman"/>
          <w:kern w:val="0"/>
          <w:sz w:val="24"/>
          <w:szCs w:val="24"/>
          <w:shd w:val="clear" w:color="auto" w:fill="FFFFFF" w:themeFill="background1"/>
          <w14:ligatures w14:val="none"/>
        </w:rPr>
        <w:t>bilježe najznačajnije povećanje za 361.800,00 eura te sada iznose 1.459.700,00 eura. Povećanje se odnosi na:</w:t>
      </w:r>
    </w:p>
    <w:p w14:paraId="2BC8BABB" w14:textId="3FE8EFE3" w:rsidR="009626E7" w:rsidRPr="00C72BA4" w:rsidRDefault="003979D9" w:rsidP="003979D9">
      <w:pPr>
        <w:pStyle w:val="Odlomakpopisa"/>
        <w:numPr>
          <w:ilvl w:val="0"/>
          <w:numId w:val="36"/>
        </w:numPr>
        <w:shd w:val="clear" w:color="auto" w:fill="FFFFFF" w:themeFill="background1"/>
        <w:spacing w:after="0"/>
        <w:ind w:right="-567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C72BA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Nabava računala i računalne opreme se povećava za 2.500,00 eura i ulaganje u računalne programe se povećava za 11.000,00 eura.</w:t>
      </w:r>
    </w:p>
    <w:p w14:paraId="35249CF1" w14:textId="3572CEBC" w:rsidR="003979D9" w:rsidRPr="00C72BA4" w:rsidRDefault="00C32188" w:rsidP="003979D9">
      <w:pPr>
        <w:pStyle w:val="Odlomakpopisa"/>
        <w:numPr>
          <w:ilvl w:val="0"/>
          <w:numId w:val="36"/>
        </w:numPr>
        <w:shd w:val="clear" w:color="auto" w:fill="FFFFFF" w:themeFill="background1"/>
        <w:spacing w:after="0"/>
        <w:ind w:right="-567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C72BA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Sanacija pješačke staze u naselju Končanica u iznosu od 17.000,00 eura</w:t>
      </w:r>
    </w:p>
    <w:p w14:paraId="7B6778C3" w14:textId="5F633332" w:rsidR="00C32188" w:rsidRPr="00C72BA4" w:rsidRDefault="00F63D44" w:rsidP="003979D9">
      <w:pPr>
        <w:pStyle w:val="Odlomakpopisa"/>
        <w:numPr>
          <w:ilvl w:val="0"/>
          <w:numId w:val="36"/>
        </w:numPr>
        <w:shd w:val="clear" w:color="auto" w:fill="FFFFFF" w:themeFill="background1"/>
        <w:spacing w:after="0"/>
        <w:ind w:right="-567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C72BA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Adaptacija unutarnjih prostora zgrade ambulante u Končanici u iznosu od 54.000,00 eura</w:t>
      </w:r>
    </w:p>
    <w:p w14:paraId="27A01D4B" w14:textId="280560C2" w:rsidR="00F63D44" w:rsidRPr="00C72BA4" w:rsidRDefault="00F63D44" w:rsidP="003979D9">
      <w:pPr>
        <w:pStyle w:val="Odlomakpopisa"/>
        <w:numPr>
          <w:ilvl w:val="0"/>
          <w:numId w:val="36"/>
        </w:numPr>
        <w:shd w:val="clear" w:color="auto" w:fill="FFFFFF" w:themeFill="background1"/>
        <w:spacing w:after="0"/>
        <w:ind w:right="-567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C72BA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Adaptacija Vatrogasnog doma Končanica u iznosu od 2.500,00 eura</w:t>
      </w:r>
    </w:p>
    <w:p w14:paraId="326C1F87" w14:textId="6AEC7C3B" w:rsidR="00F63D44" w:rsidRPr="00C72BA4" w:rsidRDefault="00F63D44" w:rsidP="003979D9">
      <w:pPr>
        <w:pStyle w:val="Odlomakpopisa"/>
        <w:numPr>
          <w:ilvl w:val="0"/>
          <w:numId w:val="36"/>
        </w:numPr>
        <w:shd w:val="clear" w:color="auto" w:fill="FFFFFF" w:themeFill="background1"/>
        <w:spacing w:after="0"/>
        <w:ind w:right="-567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C72BA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Energetski i komunikacijski vodovi u iznosu od 8.000,00 eura</w:t>
      </w:r>
    </w:p>
    <w:p w14:paraId="3BD95CC3" w14:textId="6EDA7C57" w:rsidR="00F63D44" w:rsidRPr="00C72BA4" w:rsidRDefault="00F63D44" w:rsidP="003979D9">
      <w:pPr>
        <w:pStyle w:val="Odlomakpopisa"/>
        <w:numPr>
          <w:ilvl w:val="0"/>
          <w:numId w:val="36"/>
        </w:numPr>
        <w:shd w:val="clear" w:color="auto" w:fill="FFFFFF" w:themeFill="background1"/>
        <w:spacing w:after="0"/>
        <w:ind w:right="-567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C72BA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Rekonstrukcija nerazvrstane ceste “Put Boriš“ se povećava za 12.000,00 eura</w:t>
      </w:r>
    </w:p>
    <w:p w14:paraId="298A94EB" w14:textId="77777777" w:rsidR="00F63D44" w:rsidRPr="00C72BA4" w:rsidRDefault="00F63D44" w:rsidP="00F63D44">
      <w:pPr>
        <w:pStyle w:val="Odlomakpopisa"/>
        <w:shd w:val="clear" w:color="auto" w:fill="FFFFFF" w:themeFill="background1"/>
        <w:spacing w:after="0"/>
        <w:ind w:left="153" w:right="-567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14:paraId="5DF059CE" w14:textId="75D1D7DE" w:rsidR="009626E7" w:rsidRPr="00C72BA4" w:rsidRDefault="00242874" w:rsidP="009626E7">
      <w:pPr>
        <w:shd w:val="clear" w:color="auto" w:fill="FFFFFF" w:themeFill="background1"/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shd w:val="clear" w:color="auto" w:fill="FFFFFF" w:themeFill="background1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:shd w:val="clear" w:color="auto" w:fill="FFFFFF" w:themeFill="background1"/>
          <w14:ligatures w14:val="none"/>
        </w:rPr>
        <w:t xml:space="preserve">Izdaci za financijsku imovinu se odnose na otplatu glavnice primjene od trgovačkog društva </w:t>
      </w:r>
      <w:proofErr w:type="spellStart"/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:shd w:val="clear" w:color="auto" w:fill="FFFFFF" w:themeFill="background1"/>
          <w14:ligatures w14:val="none"/>
        </w:rPr>
        <w:t>Poljodar</w:t>
      </w:r>
      <w:proofErr w:type="spellEnd"/>
      <w:r w:rsidR="006B4A96">
        <w:rPr>
          <w:rFonts w:ascii="Times New Roman" w:eastAsiaTheme="minorEastAsia" w:hAnsi="Times New Roman" w:cs="Times New Roman"/>
          <w:kern w:val="0"/>
          <w:sz w:val="24"/>
          <w:szCs w:val="24"/>
          <w:shd w:val="clear" w:color="auto" w:fill="FFFFFF" w:themeFill="background1"/>
          <w14:ligatures w14:val="none"/>
        </w:rPr>
        <w:t xml:space="preserve"> d.o.o.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:shd w:val="clear" w:color="auto" w:fill="FFFFFF" w:themeFill="background1"/>
          <w14:ligatures w14:val="none"/>
        </w:rPr>
        <w:t xml:space="preserve"> u iznosu od 60.000,00 eura. </w:t>
      </w:r>
    </w:p>
    <w:p w14:paraId="6EDB461D" w14:textId="77777777" w:rsidR="004E1EE3" w:rsidRPr="00C72BA4" w:rsidRDefault="004E1EE3" w:rsidP="00741EAD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8FF5FAD" w14:textId="77777777" w:rsidR="004E1EE3" w:rsidRPr="00C72BA4" w:rsidRDefault="004E1EE3" w:rsidP="004E1EE3">
      <w:pPr>
        <w:keepNext/>
        <w:keepLines/>
        <w:numPr>
          <w:ilvl w:val="1"/>
          <w:numId w:val="28"/>
        </w:numPr>
        <w:spacing w:before="12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caps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ajorEastAsia" w:hAnsi="Times New Roman" w:cs="Times New Roman"/>
          <w:b/>
          <w:caps/>
          <w:kern w:val="0"/>
          <w:sz w:val="24"/>
          <w:szCs w:val="24"/>
          <w14:ligatures w14:val="none"/>
        </w:rPr>
        <w:t>OBRAZLOŽENJE POSEBNOG DIJELA</w:t>
      </w:r>
    </w:p>
    <w:p w14:paraId="08064AF7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4769468" w14:textId="4095B33F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Obrazloženje posebnog dijela </w:t>
      </w:r>
      <w:r w:rsidR="0062769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I. Izmjena i dopuna Proračuna Općine Končanica 202</w:t>
      </w:r>
      <w:r w:rsidR="0024287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5</w:t>
      </w:r>
      <w:r w:rsidR="0062769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 godine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sadrži obrazloženje programa koje se daje kroz obrazloženje aktivnosti i projekata zajedno s ciljevima i pokazateljima uspješnosti realizacije tih ciljeva.</w:t>
      </w:r>
    </w:p>
    <w:p w14:paraId="04286035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1BFF7FA3" w14:textId="77777777" w:rsidR="004E1EE3" w:rsidRPr="00C72BA4" w:rsidRDefault="004E1EE3" w:rsidP="004E1EE3">
      <w:pPr>
        <w:spacing w:after="0"/>
        <w:ind w:left="-567" w:right="-567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:highlight w:val="lightGray"/>
          <w14:ligatures w14:val="none"/>
        </w:rPr>
        <w:t>PROGRAM: 1001 MJERE I AKTIVNOSTI ZA OSIGURANJE RADA IZ DJELOKRUGA PREDSTAVNIČKE VLASTI</w:t>
      </w:r>
    </w:p>
    <w:p w14:paraId="33D05467" w14:textId="77777777" w:rsidR="004E1EE3" w:rsidRPr="00C72BA4" w:rsidRDefault="004E1EE3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Općinsko vijeće predstavničko je tijelo građana i tijelo lokalne samouprave te donosi akte u okviru prava i dužnosti Općine kao jedinice lokalne samouprave. U okviru svog djelokruga Općinsko vijeće između ostalog donosi Statut Općine, odluke i druge opće akte kojima uređuje pitanja iz samoupravnog djelokruga općine, donosi općinski proračun, odluku o izvršenju proračuna i nadzire ukupno materijalno i financijsko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lastRenderedPageBreak/>
        <w:t xml:space="preserve">poslovanje Općine i odlučuje o drugim pitanjima utvrđenim zakonima i Statutom Općine. Cilj ovog programa je djelotvorno izvršavanje funkcije predstavničkog tijela i povećanje kvalitete rada. </w:t>
      </w:r>
    </w:p>
    <w:p w14:paraId="5A42B222" w14:textId="37B84725" w:rsidR="004E1EE3" w:rsidRPr="00C72BA4" w:rsidRDefault="00F360EA" w:rsidP="004E1EE3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</w:t>
      </w:r>
      <w:r w:rsidR="004E1EE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. izmjenama </w:t>
      </w:r>
      <w:r w:rsidR="0024287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povećava se za 21.200,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00</w:t>
      </w:r>
      <w:r w:rsidR="004E1EE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eura </w:t>
      </w:r>
      <w:r w:rsidR="0024287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te iznosi 65.800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,00</w:t>
      </w:r>
      <w:r w:rsidR="004E1EE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eura, a sadrži sljedeće aktivnosti:</w:t>
      </w:r>
    </w:p>
    <w:p w14:paraId="4BB89D77" w14:textId="2CD204EA" w:rsidR="004E1EE3" w:rsidRPr="00C72BA4" w:rsidRDefault="004E1EE3" w:rsidP="00F360EA">
      <w:pPr>
        <w:numPr>
          <w:ilvl w:val="0"/>
          <w:numId w:val="29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A100001 – Redovne aktivnosti Općinskog vijeća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– u okviru ove aktivnosti planiran</w:t>
      </w:r>
      <w:r w:rsidR="0024287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o je povećanje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rashod</w:t>
      </w:r>
      <w:r w:rsidR="0024287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poslovanja za rad Općinskog vijeća u iznosu od</w:t>
      </w:r>
      <w:r w:rsidR="00F360EA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4287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1.200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,00 </w:t>
      </w:r>
      <w:r w:rsidR="00F360EA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eura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 Rashodi poslovanja odnose se na</w:t>
      </w:r>
      <w:r w:rsidR="0024287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ostali materijal za Vijeće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</w:t>
      </w:r>
    </w:p>
    <w:p w14:paraId="1BFD69F1" w14:textId="366FF7FF" w:rsidR="00242874" w:rsidRPr="00C72BA4" w:rsidRDefault="004E1EE3" w:rsidP="00242874">
      <w:pPr>
        <w:numPr>
          <w:ilvl w:val="0"/>
          <w:numId w:val="29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 xml:space="preserve">A100070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– </w:t>
      </w:r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Lokalni izbori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F360EA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 izmjenama došlo je do povećanja</w:t>
      </w:r>
      <w:r w:rsidR="00F360EA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od </w:t>
      </w:r>
      <w:r w:rsidR="00242874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20.0</w:t>
      </w:r>
      <w:r w:rsidR="00F360EA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00,00 eura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zbog naknada članovima povjerenstva i članovima biračkih odbora tijekom lokalnih izbora i </w:t>
      </w:r>
      <w:r w:rsidR="003A526A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dopunskih izbora</w:t>
      </w:r>
      <w:r w:rsidR="00F360EA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</w:t>
      </w:r>
    </w:p>
    <w:p w14:paraId="0C98243C" w14:textId="77777777" w:rsidR="00242874" w:rsidRPr="00C72BA4" w:rsidRDefault="00242874" w:rsidP="00242874">
      <w:p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3B2C533" w14:textId="65E9BBE7" w:rsidR="00242874" w:rsidRPr="00C72BA4" w:rsidRDefault="00242874" w:rsidP="00242874">
      <w:pPr>
        <w:spacing w:after="0"/>
        <w:ind w:left="-567" w:right="-567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:highlight w:val="lightGray"/>
          <w14:ligatures w14:val="none"/>
        </w:rPr>
        <w:t>PROGRAM: 1004 MJERE I AKTIVNOSTI ZA OSIGURANJE RADA IZ DJELOKRUGA IZVRŠNE VLASTI</w:t>
      </w:r>
    </w:p>
    <w:p w14:paraId="206B493A" w14:textId="38EE093C" w:rsidR="00242874" w:rsidRPr="00C72BA4" w:rsidRDefault="00242874" w:rsidP="00242874">
      <w:pPr>
        <w:spacing w:after="0"/>
        <w:ind w:left="-567" w:right="-567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Programom se osiguravaju sredstva za redovno financiranje ureda načelnika. </w:t>
      </w:r>
      <w:r w:rsidR="000061D9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Općinski načelnik zastupa Općinu Končanicu i nositelj je izvršne vlasti Općine. Obavlja poslove propisane Zakonom o područjima lokalne i područne samouprave te Statutom Općine Končanica.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Program se povećava za 1.500,00 eura te sada iznosi 123.550,00 eura. Ovim izmjenama povećava se aktivnost:</w:t>
      </w:r>
    </w:p>
    <w:p w14:paraId="3A8C4B4F" w14:textId="554F85EF" w:rsidR="00242874" w:rsidRPr="00C72BA4" w:rsidRDefault="00242874" w:rsidP="00242874">
      <w:pPr>
        <w:pStyle w:val="Odlomakpopisa"/>
        <w:numPr>
          <w:ilvl w:val="0"/>
          <w:numId w:val="37"/>
        </w:numPr>
        <w:spacing w:after="0"/>
        <w:ind w:right="-567"/>
        <w:rPr>
          <w:rFonts w:ascii="Times New Roman" w:hAnsi="Times New Roman" w:cs="Times New Roman"/>
          <w:sz w:val="24"/>
          <w:szCs w:val="24"/>
        </w:rPr>
      </w:pPr>
      <w:r w:rsidRPr="00C72BA4">
        <w:rPr>
          <w:rFonts w:ascii="Times New Roman" w:hAnsi="Times New Roman" w:cs="Times New Roman"/>
          <w:sz w:val="24"/>
          <w:szCs w:val="24"/>
        </w:rPr>
        <w:t>A100011 Redovne aktivnosti ureda načelnika za 1.500,00 eura za troškove rashoda protokola.</w:t>
      </w:r>
    </w:p>
    <w:p w14:paraId="0489D07C" w14:textId="77777777" w:rsidR="00242874" w:rsidRPr="00C72BA4" w:rsidRDefault="00242874" w:rsidP="004E1EE3">
      <w:pPr>
        <w:spacing w:after="0"/>
        <w:ind w:left="-567" w:right="-567"/>
        <w:rPr>
          <w:rFonts w:ascii="Times New Roman" w:eastAsiaTheme="minorEastAsia" w:hAnsi="Times New Roman" w:cs="Times New Roman"/>
          <w:kern w:val="0"/>
          <w:sz w:val="24"/>
          <w:szCs w:val="24"/>
          <w:highlight w:val="lightGray"/>
          <w14:ligatures w14:val="none"/>
        </w:rPr>
      </w:pPr>
    </w:p>
    <w:p w14:paraId="7310FBC6" w14:textId="3AB9CA11" w:rsidR="004E1EE3" w:rsidRPr="00C72BA4" w:rsidRDefault="004E1EE3" w:rsidP="004E1EE3">
      <w:pPr>
        <w:spacing w:after="0"/>
        <w:ind w:left="-567" w:right="-567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:highlight w:val="lightGray"/>
          <w14:ligatures w14:val="none"/>
        </w:rPr>
        <w:t>PROGRAM: 1002 FINANCIRANJE RADA MJESNIH ODBORA</w:t>
      </w:r>
    </w:p>
    <w:p w14:paraId="75D29844" w14:textId="5DD6C924" w:rsidR="004E1EE3" w:rsidRPr="00C72BA4" w:rsidRDefault="004E1EE3" w:rsidP="00F360EA">
      <w:pPr>
        <w:spacing w:after="0"/>
        <w:ind w:left="-567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Programom se osiguravaju sredstva za aktivnosti koje provode mjesni odbori kao pretpostavku razvoja mjesne samouprave. Aktivnosti iz nadležnosti mjesne samouprave planiraju se i provode ponajprije radi poboljšanja životnog standarda građana. </w:t>
      </w:r>
      <w:r w:rsidR="00F360EA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I. i</w:t>
      </w:r>
      <w:r w:rsidR="00F360EA" w:rsidRPr="00C72BA4">
        <w:rPr>
          <w:rFonts w:ascii="Times New Roman" w:hAnsi="Times New Roman" w:cs="Times New Roman"/>
          <w:sz w:val="24"/>
          <w:szCs w:val="24"/>
        </w:rPr>
        <w:t xml:space="preserve">zmjenama </w:t>
      </w:r>
      <w:r w:rsidR="00242874" w:rsidRPr="00C72BA4">
        <w:rPr>
          <w:rFonts w:ascii="Times New Roman" w:hAnsi="Times New Roman" w:cs="Times New Roman"/>
          <w:sz w:val="24"/>
          <w:szCs w:val="24"/>
        </w:rPr>
        <w:t xml:space="preserve">dolazi do povećanja od 2.200,00 </w:t>
      </w:r>
      <w:r w:rsidRPr="00C72BA4">
        <w:rPr>
          <w:rFonts w:ascii="Times New Roman" w:hAnsi="Times New Roman" w:cs="Times New Roman"/>
          <w:sz w:val="24"/>
          <w:szCs w:val="24"/>
        </w:rPr>
        <w:t xml:space="preserve"> eura</w:t>
      </w:r>
      <w:r w:rsidR="00F360EA" w:rsidRPr="00C72BA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A5DA1E" w14:textId="66FE66FE" w:rsidR="004E1EE3" w:rsidRPr="00C72BA4" w:rsidRDefault="004E1EE3" w:rsidP="004E1EE3">
      <w:pPr>
        <w:numPr>
          <w:ilvl w:val="0"/>
          <w:numId w:val="13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 xml:space="preserve">A100007 – Mjesni odbor </w:t>
      </w:r>
      <w:proofErr w:type="spellStart"/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Dioš</w:t>
      </w:r>
      <w:proofErr w:type="spellEnd"/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– planirani su rashodi poslovanja u iznosu od </w:t>
      </w:r>
      <w:r w:rsidR="000061D9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1.0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00,00 </w:t>
      </w:r>
      <w:r w:rsidR="00F360EA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eura za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tekuće donacije</w:t>
      </w:r>
      <w:r w:rsidR="00F360EA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, ali se </w:t>
      </w:r>
      <w:r w:rsidR="000061D9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ovim izmjenama t</w:t>
      </w:r>
      <w:r w:rsidR="00F360EA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aj iznos povećao za</w:t>
      </w:r>
      <w:r w:rsidR="00FA7E1E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još</w:t>
      </w:r>
      <w:r w:rsidR="00F360EA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061D9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2.200</w:t>
      </w:r>
      <w:r w:rsidR="00F360EA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,00 eura</w:t>
      </w:r>
      <w:r w:rsidR="000061D9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te iznosi 3.200,00 eura.</w:t>
      </w:r>
    </w:p>
    <w:p w14:paraId="36F72BA0" w14:textId="77777777" w:rsidR="004E1EE3" w:rsidRPr="00C72BA4" w:rsidRDefault="004E1EE3" w:rsidP="004E1EE3">
      <w:pPr>
        <w:spacing w:after="0"/>
        <w:ind w:left="-502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3515E82" w14:textId="77777777" w:rsidR="004E1EE3" w:rsidRPr="00C72BA4" w:rsidRDefault="004E1EE3" w:rsidP="004E1EE3">
      <w:pPr>
        <w:spacing w:after="0"/>
        <w:ind w:left="-502" w:right="-567"/>
        <w:jc w:val="both"/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:highlight w:val="lightGray"/>
          <w14:ligatures w14:val="none"/>
        </w:rPr>
        <w:t>Program: 1005 Mjere i aktivnosti za osiguranje rada Jedinstvenog upravnog odjela</w:t>
      </w:r>
    </w:p>
    <w:p w14:paraId="23A382B6" w14:textId="2E3DCF34" w:rsidR="004E1EE3" w:rsidRPr="00C72BA4" w:rsidRDefault="004E1EE3" w:rsidP="004E1EE3">
      <w:pPr>
        <w:numPr>
          <w:ilvl w:val="0"/>
          <w:numId w:val="15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A100013 – Redovna djelatnost Jedinstvenog upravnog odjela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– u okviru ove aktivnosti I. izmjenama Proračuna </w:t>
      </w:r>
      <w:r w:rsidR="000061D9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smanjuju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s</w:t>
      </w:r>
      <w:r w:rsidR="000061D9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e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rashodi</w:t>
      </w:r>
      <w:r w:rsidR="000061D9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za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061D9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69.400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,00 eura</w:t>
      </w:r>
      <w:r w:rsidR="008E581E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(</w:t>
      </w:r>
      <w:r w:rsidR="000061D9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povećanje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naknade za bolovanje preko 42 dana</w:t>
      </w:r>
      <w:r w:rsidR="000061D9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i otpremnine, smanjenje troškova poštarine, usluga tekućeg i investicijskog održavanja u značajnijem iznosu od 60.000,00 eura. Smanjenje geodetsko-katastarskih usluga i dr.)</w:t>
      </w:r>
    </w:p>
    <w:p w14:paraId="19C8EB12" w14:textId="1442D1D0" w:rsidR="004E1EE3" w:rsidRPr="00C72BA4" w:rsidRDefault="004E1EE3" w:rsidP="004E1EE3">
      <w:pPr>
        <w:numPr>
          <w:ilvl w:val="0"/>
          <w:numId w:val="15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K100050 – Nabava opreme za potrebe poslovanja Općinske uprave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–</w:t>
      </w:r>
      <w:r w:rsidR="000061D9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rashodi za nabavu nefinancijske imovine (računala i računalna oprema, te ulaganja u računalne programe) </w:t>
      </w:r>
      <w:r w:rsidR="000061D9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se povećavaju za 13.500,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00 eura</w:t>
      </w:r>
      <w:r w:rsidR="000061D9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</w:t>
      </w:r>
    </w:p>
    <w:p w14:paraId="6730CB6A" w14:textId="77777777" w:rsidR="00410F5B" w:rsidRPr="00C72BA4" w:rsidRDefault="00410F5B" w:rsidP="004E1EE3">
      <w:pPr>
        <w:spacing w:after="0"/>
        <w:ind w:left="-502" w:right="-567"/>
        <w:jc w:val="both"/>
        <w:rPr>
          <w:rFonts w:ascii="Times New Roman" w:eastAsiaTheme="minorEastAsia" w:hAnsi="Times New Roman" w:cs="Times New Roman"/>
          <w:caps/>
          <w:kern w:val="0"/>
          <w:sz w:val="24"/>
          <w:szCs w:val="24"/>
          <w:highlight w:val="lightGray"/>
          <w14:ligatures w14:val="none"/>
        </w:rPr>
      </w:pPr>
    </w:p>
    <w:p w14:paraId="47CBAF56" w14:textId="77777777" w:rsidR="004E1EE3" w:rsidRPr="00C72BA4" w:rsidRDefault="004E1EE3" w:rsidP="004E1EE3">
      <w:pPr>
        <w:spacing w:after="0"/>
        <w:ind w:left="-502" w:right="-567"/>
        <w:jc w:val="both"/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  <w:t xml:space="preserve"> </w:t>
      </w: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:highlight w:val="lightGray"/>
          <w14:ligatures w14:val="none"/>
        </w:rPr>
        <w:t>Program: 1008 Upravljanje imovinom</w:t>
      </w: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  <w:tab/>
      </w: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  <w:tab/>
      </w: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  <w:tab/>
      </w:r>
    </w:p>
    <w:p w14:paraId="6C126403" w14:textId="0299CA3D" w:rsidR="004E1EE3" w:rsidRPr="00C72BA4" w:rsidRDefault="004E1EE3" w:rsidP="004E1EE3">
      <w:pPr>
        <w:numPr>
          <w:ilvl w:val="0"/>
          <w:numId w:val="16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A100067 – Održavanje voznog parka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61615A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smanjenje od 1.000,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00 eura</w:t>
      </w:r>
      <w:r w:rsidR="006B4A9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1615A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se odnosi na</w:t>
      </w:r>
      <w:r w:rsidR="00067B1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troškov</w:t>
      </w:r>
      <w:r w:rsidR="0061615A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e </w:t>
      </w:r>
      <w:r w:rsidR="00067B1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namijenjen</w:t>
      </w:r>
      <w:r w:rsidR="0061615A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e</w:t>
      </w:r>
      <w:r w:rsidR="00067B1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za motorni benzin i dizel gorivo</w:t>
      </w:r>
      <w:r w:rsidR="0061615A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</w:t>
      </w:r>
    </w:p>
    <w:p w14:paraId="0DBE36C8" w14:textId="77777777" w:rsidR="00E63F13" w:rsidRPr="00C72BA4" w:rsidRDefault="004E1EE3" w:rsidP="004E1EE3">
      <w:pPr>
        <w:numPr>
          <w:ilvl w:val="0"/>
          <w:numId w:val="16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K100015 – Ulaganja u imovinu Općine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– u okviru ove aktivnosti </w:t>
      </w:r>
      <w:r w:rsidR="00067B1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. izmjenama </w:t>
      </w:r>
      <w:r w:rsidR="00067B1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bilježi se povećanje u iznosu od </w:t>
      </w:r>
      <w:r w:rsidR="00E63F1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330.000</w:t>
      </w:r>
      <w:r w:rsidR="00067B1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,00 eura pa tako rashodi iznose </w:t>
      </w:r>
      <w:r w:rsidR="00E63F1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879.500</w:t>
      </w:r>
      <w:r w:rsidR="00067B1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,00 eura. Najveće promjene vidljive su kod </w:t>
      </w:r>
      <w:r w:rsidR="00E63F1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sljedećih projekata:</w:t>
      </w:r>
    </w:p>
    <w:p w14:paraId="5E7F036D" w14:textId="77777777" w:rsidR="00E63F13" w:rsidRPr="00C72BA4" w:rsidRDefault="00067B1C" w:rsidP="00E63F13">
      <w:pPr>
        <w:numPr>
          <w:ilvl w:val="1"/>
          <w:numId w:val="16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Sanacij</w:t>
      </w:r>
      <w:r w:rsidR="00E63F1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pješačke staze naselja Končanica</w:t>
      </w:r>
      <w:r w:rsidR="00E63F1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se povećava za 17.000,00 eura</w:t>
      </w:r>
    </w:p>
    <w:p w14:paraId="2BB389F3" w14:textId="097F1AF2" w:rsidR="004E1EE3" w:rsidRPr="00C72BA4" w:rsidRDefault="00E63F13" w:rsidP="00E63F13">
      <w:pPr>
        <w:numPr>
          <w:ilvl w:val="1"/>
          <w:numId w:val="16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Uređenje zgrade zdravstvene ambulante i okoliša se smanjuje za</w:t>
      </w:r>
      <w:r w:rsidR="00067B1C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20.000,00 eura </w:t>
      </w:r>
    </w:p>
    <w:p w14:paraId="4CBBE01B" w14:textId="2924E488" w:rsidR="00E63F13" w:rsidRPr="00C72BA4" w:rsidRDefault="00E63F13" w:rsidP="00E63F13">
      <w:pPr>
        <w:numPr>
          <w:ilvl w:val="1"/>
          <w:numId w:val="16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Adaptacija unutarnjih prostora zgrade zdravstvene ambulante se povećava za 54.000,00 eura.</w:t>
      </w:r>
    </w:p>
    <w:p w14:paraId="0AA5FC07" w14:textId="0E2233B4" w:rsidR="00E63F13" w:rsidRPr="00C72BA4" w:rsidRDefault="00E63F13" w:rsidP="00E63F13">
      <w:pPr>
        <w:numPr>
          <w:ilvl w:val="1"/>
          <w:numId w:val="16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Adaptacija i dogradnja vatrogasnog doma u Končanici se povećava za 2.500,00 eura</w:t>
      </w:r>
    </w:p>
    <w:p w14:paraId="41A93CEF" w14:textId="6FF8BC06" w:rsidR="00E63F13" w:rsidRPr="00C72BA4" w:rsidRDefault="00E63F13" w:rsidP="00E63F13">
      <w:pPr>
        <w:numPr>
          <w:ilvl w:val="1"/>
          <w:numId w:val="16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Zgrade znanstvenih i obrazovnih institucija se povećavaju za 330.000,00 eura</w:t>
      </w:r>
    </w:p>
    <w:p w14:paraId="21BFEB26" w14:textId="77777777" w:rsidR="004E1EE3" w:rsidRPr="00C72BA4" w:rsidRDefault="004E1EE3" w:rsidP="004E1EE3">
      <w:pPr>
        <w:spacing w:after="0"/>
        <w:ind w:left="-502" w:right="-567"/>
        <w:jc w:val="both"/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:highlight w:val="lightGray"/>
          <w14:ligatures w14:val="none"/>
        </w:rPr>
        <w:lastRenderedPageBreak/>
        <w:t>Program: 1009 Financijski poslovi</w:t>
      </w: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  <w:tab/>
      </w: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  <w:tab/>
      </w: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  <w:tab/>
      </w:r>
    </w:p>
    <w:p w14:paraId="5AACC94D" w14:textId="077A7011" w:rsidR="004E1EE3" w:rsidRPr="00C72BA4" w:rsidRDefault="004E1EE3" w:rsidP="004E1EE3">
      <w:pPr>
        <w:numPr>
          <w:ilvl w:val="0"/>
          <w:numId w:val="17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A100016 – Kratkoročno zaduživanje za premošćivanje tekuće likvidnosti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– u okviru ove aktivnosti </w:t>
      </w:r>
      <w:r w:rsidR="00E63F1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prvim</w:t>
      </w:r>
      <w:r w:rsidR="00E4164B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izmjenama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4164B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jedina je promjena </w:t>
      </w:r>
      <w:r w:rsidR="00E63F1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povećanje</w:t>
      </w:r>
      <w:r w:rsidR="00E4164B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iznosa za </w:t>
      </w:r>
      <w:r w:rsidR="00E63F1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60.000</w:t>
      </w:r>
      <w:r w:rsidR="00E4164B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,00 eura</w:t>
      </w:r>
      <w:r w:rsidR="00E63F1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</w:t>
      </w:r>
    </w:p>
    <w:p w14:paraId="4C0FB585" w14:textId="77777777" w:rsidR="004E1EE3" w:rsidRPr="00C72BA4" w:rsidRDefault="004E1EE3" w:rsidP="004E1EE3">
      <w:pPr>
        <w:spacing w:after="0"/>
        <w:ind w:left="-502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CF3CA4B" w14:textId="77777777" w:rsidR="004E1EE3" w:rsidRPr="00C72BA4" w:rsidRDefault="004E1EE3" w:rsidP="004E1EE3">
      <w:pPr>
        <w:spacing w:after="0"/>
        <w:ind w:left="-502" w:right="-567"/>
        <w:jc w:val="both"/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:highlight w:val="lightGray"/>
          <w14:ligatures w14:val="none"/>
        </w:rPr>
        <w:t>Program: 1014 Program socijalne skrbi i novčane pomoći</w:t>
      </w: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  <w:tab/>
      </w: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  <w:tab/>
      </w:r>
    </w:p>
    <w:p w14:paraId="1FA46335" w14:textId="3F727112" w:rsidR="004E1EE3" w:rsidRPr="00C72BA4" w:rsidRDefault="004E1EE3" w:rsidP="004E1EE3">
      <w:pPr>
        <w:numPr>
          <w:ilvl w:val="0"/>
          <w:numId w:val="20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A100030 – Naknade iz proračuna socijalnim slučajevima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– rashodi poslovanja (stanovanje i ostale tekuće donacije) </w:t>
      </w:r>
      <w:r w:rsidR="00E63F1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povećavaju se za 2.000,00 eura te sada iznose 12.500,00 eura.</w:t>
      </w:r>
    </w:p>
    <w:p w14:paraId="7B8D5139" w14:textId="77777777" w:rsidR="0023147C" w:rsidRPr="00C72BA4" w:rsidRDefault="0023147C" w:rsidP="004E1EE3">
      <w:pPr>
        <w:spacing w:after="0"/>
        <w:ind w:left="-502" w:right="-567"/>
        <w:jc w:val="both"/>
        <w:rPr>
          <w:rFonts w:ascii="Times New Roman" w:eastAsiaTheme="minorEastAsia" w:hAnsi="Times New Roman" w:cs="Times New Roman"/>
          <w:caps/>
          <w:kern w:val="0"/>
          <w:sz w:val="24"/>
          <w:szCs w:val="24"/>
          <w:highlight w:val="lightGray"/>
          <w14:ligatures w14:val="none"/>
        </w:rPr>
      </w:pPr>
    </w:p>
    <w:p w14:paraId="76CF4C0D" w14:textId="037F3A8A" w:rsidR="00C30A21" w:rsidRPr="00C72BA4" w:rsidRDefault="004E1EE3" w:rsidP="00C30A21">
      <w:pPr>
        <w:spacing w:after="0"/>
        <w:ind w:left="-502" w:right="-567"/>
        <w:jc w:val="both"/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:highlight w:val="lightGray"/>
          <w14:ligatures w14:val="none"/>
        </w:rPr>
        <w:t>Program: 1015 Održavanje objekta i uređaja komunalne infrastrukture</w:t>
      </w: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  <w:tab/>
      </w:r>
    </w:p>
    <w:p w14:paraId="73559E93" w14:textId="2B62AE83" w:rsidR="004E1EE3" w:rsidRPr="00C72BA4" w:rsidRDefault="00C30A21" w:rsidP="00C30A21">
      <w:pPr>
        <w:spacing w:after="0"/>
        <w:ind w:left="-502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U okviru ovog programa za </w:t>
      </w:r>
      <w:r w:rsidR="00973600"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O</w:t>
      </w:r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državanje nerazvrstanih cesta – poljski putevi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došlo je do povećanja za </w:t>
      </w:r>
      <w:r w:rsidR="00E63F1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5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0.000,00 eura namijenjenih za održavanje nerazvrstanih cesta, košnju, </w:t>
      </w:r>
      <w:proofErr w:type="spellStart"/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malčiranj</w:t>
      </w:r>
      <w:r w:rsidR="00E63F1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e</w:t>
      </w:r>
      <w:proofErr w:type="spellEnd"/>
      <w:r w:rsidR="00E63F1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i dr. T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ako rashodi poslovanja sa planiranih </w:t>
      </w:r>
      <w:r w:rsidR="00E63F1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122.500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,00 eura sada iznose</w:t>
      </w:r>
      <w:r w:rsidR="00E63F1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172.500,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00 eura</w:t>
      </w:r>
      <w:r w:rsidR="00E63F1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</w:t>
      </w:r>
    </w:p>
    <w:p w14:paraId="0E4CFC90" w14:textId="77777777" w:rsidR="00C30A21" w:rsidRPr="00C72BA4" w:rsidRDefault="00C30A21" w:rsidP="00C30A21">
      <w:pPr>
        <w:spacing w:after="0"/>
        <w:ind w:left="-502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D17A3E4" w14:textId="60F03537" w:rsidR="004E1EE3" w:rsidRPr="00C72BA4" w:rsidRDefault="004E1EE3" w:rsidP="006B4A96">
      <w:pPr>
        <w:spacing w:after="0"/>
        <w:ind w:left="-502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:highlight w:val="lightGray"/>
          <w14:ligatures w14:val="none"/>
        </w:rPr>
        <w:t>Program: 1016 Izgradnja objekata i uređaja komunalne infrastrukture</w:t>
      </w: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  <w:tab/>
      </w: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  <w:tab/>
      </w:r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K1000</w:t>
      </w:r>
      <w:r w:rsidR="00E63F13"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42</w:t>
      </w:r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 xml:space="preserve"> – </w:t>
      </w:r>
      <w:r w:rsidR="00E63F13"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Energetski i komunikacijski vodovi – led rasvjeta se povećava za 8.000,00 eura te sada iznosu 10.000,00 eura.</w:t>
      </w:r>
      <w:r w:rsidR="00DA28B0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EFDCADD" w14:textId="2E4921D0" w:rsidR="004E1EE3" w:rsidRPr="00C72BA4" w:rsidRDefault="004E1EE3" w:rsidP="004E1EE3">
      <w:pPr>
        <w:numPr>
          <w:ilvl w:val="0"/>
          <w:numId w:val="22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K100074 – Rekonstrukcija nerazvrstanih cesta „Put Boriš“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85512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– povećava se</w:t>
      </w:r>
      <w:r w:rsidR="00DA28B0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za </w:t>
      </w:r>
      <w:r w:rsidR="00785512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12</w:t>
      </w:r>
      <w:r w:rsidR="00DA28B0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.000,00 eura </w:t>
      </w:r>
      <w:r w:rsidR="00785512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te sada iznosi 537.000,00 eura.</w:t>
      </w:r>
    </w:p>
    <w:p w14:paraId="33361749" w14:textId="77777777" w:rsidR="004E1EE3" w:rsidRPr="00C72BA4" w:rsidRDefault="004E1EE3" w:rsidP="004E1EE3">
      <w:pPr>
        <w:spacing w:after="0"/>
        <w:ind w:left="-502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3D280B22" w14:textId="77777777" w:rsidR="004E1EE3" w:rsidRPr="00C72BA4" w:rsidRDefault="004E1EE3" w:rsidP="004E1EE3">
      <w:pPr>
        <w:spacing w:after="0"/>
        <w:ind w:left="-502" w:right="-567"/>
        <w:jc w:val="both"/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:highlight w:val="lightGray"/>
          <w14:ligatures w14:val="none"/>
        </w:rPr>
        <w:t>Program: 1020 Razvoj gospodarstva i poljoprivrede</w:t>
      </w: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  <w:tab/>
      </w: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  <w:tab/>
      </w:r>
    </w:p>
    <w:p w14:paraId="443FF95C" w14:textId="2062FBA8" w:rsidR="004E1EE3" w:rsidRPr="00C72BA4" w:rsidRDefault="004E1EE3" w:rsidP="004E1EE3">
      <w:pPr>
        <w:numPr>
          <w:ilvl w:val="0"/>
          <w:numId w:val="24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A1000</w:t>
      </w:r>
      <w:r w:rsidR="00785512"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49</w:t>
      </w:r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 xml:space="preserve"> – </w:t>
      </w:r>
      <w:r w:rsidR="00785512"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Subvencije u gospodarstvu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785512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subvencije obrtnicima i poduzetnicima se povećavaju za 7.000,00 eura te iznose 10.000,00 eura.</w:t>
      </w:r>
    </w:p>
    <w:p w14:paraId="5F480774" w14:textId="2EA01C7C" w:rsidR="00785512" w:rsidRPr="00C72BA4" w:rsidRDefault="00785512" w:rsidP="004E1EE3">
      <w:pPr>
        <w:numPr>
          <w:ilvl w:val="0"/>
          <w:numId w:val="24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 xml:space="preserve">A100065 Sufinanciranje udruga poljoprivrednog značaja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– se povećava za 6.500,00 eura te sada iznosi 10.000,00 eura. Sredstva su namijenjena za rad Lovačke udruge “Vidra“.</w:t>
      </w:r>
    </w:p>
    <w:p w14:paraId="50BAD164" w14:textId="0CBF77DC" w:rsidR="00785512" w:rsidRPr="00C72BA4" w:rsidRDefault="00785512" w:rsidP="004E1EE3">
      <w:pPr>
        <w:numPr>
          <w:ilvl w:val="0"/>
          <w:numId w:val="24"/>
        </w:num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 xml:space="preserve">A100069 Subvencije u poljoprivredi 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– se povećavaju za 1.400,00 eura</w:t>
      </w:r>
      <w:r w:rsidR="003A526A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,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a iznose 5.700,00 eura koje su namijenjene pčelarima sa područja općine</w:t>
      </w:r>
      <w:r w:rsidR="003A526A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Končanica i za </w:t>
      </w:r>
      <w:proofErr w:type="spellStart"/>
      <w:r w:rsidR="003A526A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osjemenjivanje</w:t>
      </w:r>
      <w:proofErr w:type="spellEnd"/>
      <w:r w:rsidR="003A526A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krava</w:t>
      </w: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</w:t>
      </w:r>
    </w:p>
    <w:p w14:paraId="3BAEA1FF" w14:textId="77777777" w:rsidR="004E1EE3" w:rsidRPr="00C72BA4" w:rsidRDefault="004E1EE3" w:rsidP="004E1EE3">
      <w:pPr>
        <w:spacing w:after="0"/>
        <w:ind w:left="-502" w:righ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7CFA7BB8" w14:textId="3537056B" w:rsidR="004E1EE3" w:rsidRPr="00C72BA4" w:rsidRDefault="004E1EE3" w:rsidP="004E1EE3">
      <w:pPr>
        <w:spacing w:after="0"/>
        <w:ind w:left="-502" w:right="-567"/>
        <w:jc w:val="both"/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:highlight w:val="lightGray"/>
          <w14:ligatures w14:val="none"/>
        </w:rPr>
        <w:t>Program: 102</w:t>
      </w:r>
      <w:r w:rsidR="00785512"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:highlight w:val="lightGray"/>
          <w14:ligatures w14:val="none"/>
        </w:rPr>
        <w:t>1</w:t>
      </w: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:highlight w:val="lightGray"/>
          <w14:ligatures w14:val="none"/>
        </w:rPr>
        <w:t xml:space="preserve"> </w:t>
      </w:r>
      <w:r w:rsidR="00785512"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:highlight w:val="lightGray"/>
          <w14:ligatures w14:val="none"/>
        </w:rPr>
        <w:t>FINANCIRANJE ČEŠKOG DJEČJEG VRTIĆA KONČANICA</w:t>
      </w: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  <w:tab/>
      </w:r>
      <w:r w:rsidRPr="00C72BA4">
        <w:rPr>
          <w:rFonts w:ascii="Times New Roman" w:eastAsiaTheme="minorEastAsia" w:hAnsi="Times New Roman" w:cs="Times New Roman"/>
          <w:caps/>
          <w:kern w:val="0"/>
          <w:sz w:val="24"/>
          <w:szCs w:val="24"/>
          <w14:ligatures w14:val="none"/>
        </w:rPr>
        <w:tab/>
      </w:r>
    </w:p>
    <w:p w14:paraId="0EFBE51A" w14:textId="25F0CC92" w:rsidR="00785512" w:rsidRDefault="00785512" w:rsidP="00785512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BA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4E1EE3" w:rsidRPr="00C72BA4">
        <w:rPr>
          <w:rFonts w:ascii="Times New Roman" w:hAnsi="Times New Roman" w:cs="Times New Roman"/>
          <w:i/>
          <w:iCs/>
          <w:sz w:val="24"/>
          <w:szCs w:val="24"/>
        </w:rPr>
        <w:t>10005</w:t>
      </w:r>
      <w:r w:rsidRPr="00C72BA4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4E1EE3" w:rsidRPr="00C72BA4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C72BA4">
        <w:rPr>
          <w:rFonts w:ascii="Times New Roman" w:hAnsi="Times New Roman" w:cs="Times New Roman"/>
          <w:i/>
          <w:iCs/>
          <w:sz w:val="24"/>
          <w:szCs w:val="24"/>
        </w:rPr>
        <w:t xml:space="preserve">Obavljanje redovne djelatnosti Češkog dječjeg vrtića Končanica se povećava za 53.221,19 eura te sada iznosi 197.090,19 eura. </w:t>
      </w:r>
      <w:r w:rsidRPr="00C72BA4">
        <w:rPr>
          <w:rFonts w:ascii="Times New Roman" w:hAnsi="Times New Roman" w:cs="Times New Roman"/>
          <w:sz w:val="24"/>
          <w:szCs w:val="24"/>
        </w:rPr>
        <w:t>€. Povećanje se odnosi na povećanje troškova  doprinosa za obvezno zdravstveno osiguranje djelatnika, dnevnice radnika, plaće radnika koje čine najveću i najvažniju stavku ovih izmjena. Povećavaju se i troškovi koji su potrebni za funkcioniranje vrtića a odnose se na: električnu energiju, zdravstvene usluge i dr.</w:t>
      </w:r>
    </w:p>
    <w:p w14:paraId="70E62B4E" w14:textId="1CDF4AD2" w:rsidR="006B4A96" w:rsidRDefault="00320D56" w:rsidP="00320D56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I.</w:t>
      </w:r>
      <w:r w:rsidRPr="00320D56"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 w:rsidRPr="00320D56">
        <w:rPr>
          <w:rFonts w:ascii="Times New Roman" w:hAnsi="Times New Roman" w:cs="Times New Roman"/>
          <w:sz w:val="24"/>
          <w:szCs w:val="24"/>
        </w:rPr>
        <w:t xml:space="preserve"> i dopune proračuna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20D56">
        <w:rPr>
          <w:rFonts w:ascii="Times New Roman" w:hAnsi="Times New Roman" w:cs="Times New Roman"/>
          <w:sz w:val="24"/>
          <w:szCs w:val="24"/>
        </w:rPr>
        <w:t>. godinu objavit će se u "Službenom glasniku Općine Končanica"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0D56">
        <w:rPr>
          <w:rFonts w:ascii="Times New Roman" w:hAnsi="Times New Roman" w:cs="Times New Roman"/>
          <w:sz w:val="24"/>
          <w:szCs w:val="24"/>
        </w:rPr>
        <w:t xml:space="preserve"> a  stupaju na snagu osmog dana od dana objave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686B6D" w14:textId="77777777" w:rsidR="00320D56" w:rsidRPr="00320D56" w:rsidRDefault="00320D56" w:rsidP="00320D56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224CF1B" w14:textId="02F90D8C" w:rsidR="00B464EB" w:rsidRPr="00C72BA4" w:rsidRDefault="00B464EB" w:rsidP="00B464EB">
      <w:p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KLASA: </w:t>
      </w:r>
      <w:r w:rsidR="00BD2BE5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400-06/24-01/1</w:t>
      </w:r>
    </w:p>
    <w:p w14:paraId="1BBC37C2" w14:textId="330359F2" w:rsidR="00B464EB" w:rsidRDefault="00B464EB" w:rsidP="00B464EB">
      <w:p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URBROJ: </w:t>
      </w:r>
      <w:r w:rsidR="00BD2BE5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2103-12-01-25-2</w:t>
      </w:r>
    </w:p>
    <w:p w14:paraId="4032669C" w14:textId="3B4B5018" w:rsidR="006B4A96" w:rsidRPr="00C72BA4" w:rsidRDefault="006B4A96" w:rsidP="00B464EB">
      <w:pPr>
        <w:spacing w:after="0"/>
        <w:ind w:right="-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12. kolovoza 2025., Končanica</w:t>
      </w:r>
    </w:p>
    <w:p w14:paraId="56C2C1E0" w14:textId="56415BD4" w:rsidR="004E1EE3" w:rsidRPr="00C72BA4" w:rsidRDefault="00090A32" w:rsidP="00E6740D">
      <w:pPr>
        <w:spacing w:after="0"/>
        <w:ind w:left="5664" w:right="-567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</w:t>
      </w:r>
      <w:r w:rsidR="004E1EE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REDSJEDNI</w:t>
      </w:r>
      <w:r w:rsidR="00E6740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CA</w:t>
      </w:r>
      <w:r w:rsidR="004E1EE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OPĆINSKOG VIJEĆA</w:t>
      </w:r>
      <w:r w:rsidR="00E6740D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E1EE3"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OPĆINE KONČANICA</w:t>
      </w:r>
    </w:p>
    <w:p w14:paraId="756DEAFC" w14:textId="4045759A" w:rsidR="00223B0A" w:rsidRPr="00C72BA4" w:rsidRDefault="00E6740D" w:rsidP="00E6740D">
      <w:pPr>
        <w:spacing w:after="0"/>
        <w:ind w:left="4956" w:right="-567" w:firstLine="708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Marija </w:t>
      </w:r>
      <w:proofErr w:type="spellStart"/>
      <w:r w:rsidRPr="00C72BA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Kubišta</w:t>
      </w:r>
      <w:proofErr w:type="spellEnd"/>
    </w:p>
    <w:sectPr w:rsidR="00223B0A" w:rsidRPr="00C72BA4" w:rsidSect="004E1EE3">
      <w:type w:val="continuous"/>
      <w:pgSz w:w="11906" w:h="16838"/>
      <w:pgMar w:top="1417" w:right="1417" w:bottom="1417" w:left="1417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EA92" w14:textId="77777777" w:rsidR="00A72317" w:rsidRDefault="00A72317">
      <w:pPr>
        <w:spacing w:after="0" w:line="240" w:lineRule="auto"/>
      </w:pPr>
      <w:r>
        <w:separator/>
      </w:r>
    </w:p>
  </w:endnote>
  <w:endnote w:type="continuationSeparator" w:id="0">
    <w:p w14:paraId="14031698" w14:textId="77777777" w:rsidR="00A72317" w:rsidRDefault="00A7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BE5C" w14:textId="77777777" w:rsidR="000B5A08" w:rsidRDefault="000B5A08">
    <w:pPr>
      <w:pStyle w:val="Podnoje"/>
      <w:jc w:val="right"/>
    </w:pPr>
  </w:p>
  <w:p w14:paraId="7458B492" w14:textId="77777777" w:rsidR="000B5A08" w:rsidRDefault="000B5A0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EAD5" w14:textId="77777777" w:rsidR="000B5A08" w:rsidRDefault="000B5A0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BDDF6" w14:textId="77777777" w:rsidR="000B5A08" w:rsidRDefault="000B5A08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5452770"/>
      <w:docPartObj>
        <w:docPartGallery w:val="Page Numbers (Bottom of Page)"/>
        <w:docPartUnique/>
      </w:docPartObj>
    </w:sdtPr>
    <w:sdtContent>
      <w:p w14:paraId="5F553810" w14:textId="77777777" w:rsidR="000B5A08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54A416" w14:textId="77777777" w:rsidR="000B5A08" w:rsidRDefault="000B5A08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F64A" w14:textId="77777777" w:rsidR="000B5A08" w:rsidRDefault="000B5A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D399" w14:textId="77777777" w:rsidR="00A72317" w:rsidRDefault="00A72317">
      <w:pPr>
        <w:spacing w:after="0" w:line="240" w:lineRule="auto"/>
      </w:pPr>
      <w:r>
        <w:separator/>
      </w:r>
    </w:p>
  </w:footnote>
  <w:footnote w:type="continuationSeparator" w:id="0">
    <w:p w14:paraId="0F5E86F2" w14:textId="77777777" w:rsidR="00A72317" w:rsidRDefault="00A72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0550" w14:textId="77777777" w:rsidR="000B5A08" w:rsidRDefault="000B5A0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FF5A" w14:textId="77777777" w:rsidR="000B5A08" w:rsidRDefault="000B5A0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8AF1" w14:textId="77777777" w:rsidR="000B5A08" w:rsidRDefault="000B5A08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93D9" w14:textId="77777777" w:rsidR="000B5A08" w:rsidRDefault="000B5A0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ED0"/>
    <w:multiLevelType w:val="hybridMultilevel"/>
    <w:tmpl w:val="09DC80FE"/>
    <w:lvl w:ilvl="0" w:tplc="0884FD18">
      <w:start w:val="3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5233CCA"/>
    <w:multiLevelType w:val="hybridMultilevel"/>
    <w:tmpl w:val="645224C6"/>
    <w:lvl w:ilvl="0" w:tplc="E89421CE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93A3351"/>
    <w:multiLevelType w:val="hybridMultilevel"/>
    <w:tmpl w:val="D38E672A"/>
    <w:lvl w:ilvl="0" w:tplc="041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0D6345BF"/>
    <w:multiLevelType w:val="multilevel"/>
    <w:tmpl w:val="F2D8E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6E779F"/>
    <w:multiLevelType w:val="hybridMultilevel"/>
    <w:tmpl w:val="9462DF3E"/>
    <w:lvl w:ilvl="0" w:tplc="041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6AD239B"/>
    <w:multiLevelType w:val="hybridMultilevel"/>
    <w:tmpl w:val="1E0C2C3C"/>
    <w:lvl w:ilvl="0" w:tplc="041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16D64260"/>
    <w:multiLevelType w:val="multilevel"/>
    <w:tmpl w:val="B360166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8" w15:restartNumberingAfterBreak="0">
    <w:nsid w:val="19BE337F"/>
    <w:multiLevelType w:val="hybridMultilevel"/>
    <w:tmpl w:val="BE0C61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C53F0"/>
    <w:multiLevelType w:val="hybridMultilevel"/>
    <w:tmpl w:val="162842A6"/>
    <w:lvl w:ilvl="0" w:tplc="DE90C33A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61E77CA"/>
    <w:multiLevelType w:val="hybridMultilevel"/>
    <w:tmpl w:val="5120A45A"/>
    <w:lvl w:ilvl="0" w:tplc="041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26B35681"/>
    <w:multiLevelType w:val="hybridMultilevel"/>
    <w:tmpl w:val="38E8A0E4"/>
    <w:lvl w:ilvl="0" w:tplc="041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27314BFD"/>
    <w:multiLevelType w:val="hybridMultilevel"/>
    <w:tmpl w:val="3386EA7C"/>
    <w:lvl w:ilvl="0" w:tplc="041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28CF3DBD"/>
    <w:multiLevelType w:val="hybridMultilevel"/>
    <w:tmpl w:val="07163B42"/>
    <w:lvl w:ilvl="0" w:tplc="FC608F1E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2B1F756E"/>
    <w:multiLevelType w:val="hybridMultilevel"/>
    <w:tmpl w:val="404C2120"/>
    <w:lvl w:ilvl="0" w:tplc="041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5" w15:restartNumberingAfterBreak="0">
    <w:nsid w:val="2BDF36B2"/>
    <w:multiLevelType w:val="hybridMultilevel"/>
    <w:tmpl w:val="46E07DCA"/>
    <w:lvl w:ilvl="0" w:tplc="AF8E4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914D0"/>
    <w:multiLevelType w:val="multilevel"/>
    <w:tmpl w:val="46E670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D85786"/>
    <w:multiLevelType w:val="hybridMultilevel"/>
    <w:tmpl w:val="1694B0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71C59"/>
    <w:multiLevelType w:val="multilevel"/>
    <w:tmpl w:val="F69C5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261004D"/>
    <w:multiLevelType w:val="multilevel"/>
    <w:tmpl w:val="4C3CEBC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0" w15:restartNumberingAfterBreak="0">
    <w:nsid w:val="339B7EF8"/>
    <w:multiLevelType w:val="hybridMultilevel"/>
    <w:tmpl w:val="68AE5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77A3A"/>
    <w:multiLevelType w:val="hybridMultilevel"/>
    <w:tmpl w:val="4050B90C"/>
    <w:lvl w:ilvl="0" w:tplc="041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 w15:restartNumberingAfterBreak="0">
    <w:nsid w:val="3BFB4EEF"/>
    <w:multiLevelType w:val="hybridMultilevel"/>
    <w:tmpl w:val="4176BE72"/>
    <w:lvl w:ilvl="0" w:tplc="041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3C205ED9"/>
    <w:multiLevelType w:val="hybridMultilevel"/>
    <w:tmpl w:val="FE745CA4"/>
    <w:lvl w:ilvl="0" w:tplc="1CC2ABBC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428F2861"/>
    <w:multiLevelType w:val="hybridMultilevel"/>
    <w:tmpl w:val="809C6668"/>
    <w:lvl w:ilvl="0" w:tplc="041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4318420D"/>
    <w:multiLevelType w:val="hybridMultilevel"/>
    <w:tmpl w:val="5FB4E446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44290A57"/>
    <w:multiLevelType w:val="hybridMultilevel"/>
    <w:tmpl w:val="F6106CF8"/>
    <w:lvl w:ilvl="0" w:tplc="041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7" w15:restartNumberingAfterBreak="0">
    <w:nsid w:val="44BF0B51"/>
    <w:multiLevelType w:val="hybridMultilevel"/>
    <w:tmpl w:val="6384354C"/>
    <w:lvl w:ilvl="0" w:tplc="587AA39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4E0737D6"/>
    <w:multiLevelType w:val="hybridMultilevel"/>
    <w:tmpl w:val="A4922878"/>
    <w:lvl w:ilvl="0" w:tplc="848C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34C2A"/>
    <w:multiLevelType w:val="hybridMultilevel"/>
    <w:tmpl w:val="401E44B6"/>
    <w:lvl w:ilvl="0" w:tplc="771626EA">
      <w:start w:val="3"/>
      <w:numFmt w:val="bullet"/>
      <w:lvlText w:val=""/>
      <w:lvlJc w:val="left"/>
      <w:pPr>
        <w:ind w:left="-774" w:hanging="360"/>
      </w:pPr>
      <w:rPr>
        <w:rFonts w:ascii="Symbol" w:eastAsiaTheme="minorHAnsi" w:hAnsi="Symbol" w:cstheme="minorBidi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540871DE"/>
    <w:multiLevelType w:val="hybridMultilevel"/>
    <w:tmpl w:val="58484CDC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5A552E58"/>
    <w:multiLevelType w:val="hybridMultilevel"/>
    <w:tmpl w:val="5F629A94"/>
    <w:lvl w:ilvl="0" w:tplc="041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2" w15:restartNumberingAfterBreak="0">
    <w:nsid w:val="5D2F1EE5"/>
    <w:multiLevelType w:val="hybridMultilevel"/>
    <w:tmpl w:val="FD3EFCDE"/>
    <w:lvl w:ilvl="0" w:tplc="771626EA">
      <w:start w:val="3"/>
      <w:numFmt w:val="bullet"/>
      <w:lvlText w:val=""/>
      <w:lvlJc w:val="left"/>
      <w:pPr>
        <w:ind w:left="-774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66D679A8"/>
    <w:multiLevelType w:val="hybridMultilevel"/>
    <w:tmpl w:val="B0C4F25A"/>
    <w:lvl w:ilvl="0" w:tplc="041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4" w15:restartNumberingAfterBreak="0">
    <w:nsid w:val="67C00326"/>
    <w:multiLevelType w:val="hybridMultilevel"/>
    <w:tmpl w:val="E1B6B7D0"/>
    <w:lvl w:ilvl="0" w:tplc="771626EA">
      <w:start w:val="3"/>
      <w:numFmt w:val="bullet"/>
      <w:lvlText w:val=""/>
      <w:lvlJc w:val="left"/>
      <w:pPr>
        <w:ind w:left="-774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6BE50B3D"/>
    <w:multiLevelType w:val="hybridMultilevel"/>
    <w:tmpl w:val="33F6BC02"/>
    <w:lvl w:ilvl="0" w:tplc="771626EA">
      <w:start w:val="3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6" w15:restartNumberingAfterBreak="0">
    <w:nsid w:val="7831402D"/>
    <w:multiLevelType w:val="hybridMultilevel"/>
    <w:tmpl w:val="07545BCC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8D557FD"/>
    <w:multiLevelType w:val="hybridMultilevel"/>
    <w:tmpl w:val="7F1A989C"/>
    <w:lvl w:ilvl="0" w:tplc="77B83FA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35DCB"/>
    <w:multiLevelType w:val="multilevel"/>
    <w:tmpl w:val="94D2E20E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E555969"/>
    <w:multiLevelType w:val="hybridMultilevel"/>
    <w:tmpl w:val="8BF0146C"/>
    <w:lvl w:ilvl="0" w:tplc="88385BF0">
      <w:start w:val="1"/>
      <w:numFmt w:val="bullet"/>
      <w:lvlText w:val="-"/>
      <w:lvlJc w:val="left"/>
      <w:pPr>
        <w:ind w:left="-207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657807102">
    <w:abstractNumId w:val="15"/>
  </w:num>
  <w:num w:numId="2" w16cid:durableId="1640378163">
    <w:abstractNumId w:val="19"/>
  </w:num>
  <w:num w:numId="3" w16cid:durableId="1431437537">
    <w:abstractNumId w:val="1"/>
  </w:num>
  <w:num w:numId="4" w16cid:durableId="107090567">
    <w:abstractNumId w:val="7"/>
  </w:num>
  <w:num w:numId="5" w16cid:durableId="1113745658">
    <w:abstractNumId w:val="0"/>
  </w:num>
  <w:num w:numId="6" w16cid:durableId="346686475">
    <w:abstractNumId w:val="35"/>
  </w:num>
  <w:num w:numId="7" w16cid:durableId="1606577818">
    <w:abstractNumId w:val="34"/>
  </w:num>
  <w:num w:numId="8" w16cid:durableId="369839407">
    <w:abstractNumId w:val="29"/>
  </w:num>
  <w:num w:numId="9" w16cid:durableId="1176924116">
    <w:abstractNumId w:val="32"/>
  </w:num>
  <w:num w:numId="10" w16cid:durableId="187330136">
    <w:abstractNumId w:val="13"/>
  </w:num>
  <w:num w:numId="11" w16cid:durableId="10690329">
    <w:abstractNumId w:val="39"/>
  </w:num>
  <w:num w:numId="12" w16cid:durableId="2003701863">
    <w:abstractNumId w:val="9"/>
  </w:num>
  <w:num w:numId="13" w16cid:durableId="849181383">
    <w:abstractNumId w:val="33"/>
  </w:num>
  <w:num w:numId="14" w16cid:durableId="1343359771">
    <w:abstractNumId w:val="22"/>
  </w:num>
  <w:num w:numId="15" w16cid:durableId="1623611498">
    <w:abstractNumId w:val="4"/>
  </w:num>
  <w:num w:numId="16" w16cid:durableId="1479418195">
    <w:abstractNumId w:val="14"/>
  </w:num>
  <w:num w:numId="17" w16cid:durableId="937297258">
    <w:abstractNumId w:val="31"/>
  </w:num>
  <w:num w:numId="18" w16cid:durableId="1713454457">
    <w:abstractNumId w:val="6"/>
  </w:num>
  <w:num w:numId="19" w16cid:durableId="1463428082">
    <w:abstractNumId w:val="10"/>
  </w:num>
  <w:num w:numId="20" w16cid:durableId="358547636">
    <w:abstractNumId w:val="21"/>
  </w:num>
  <w:num w:numId="21" w16cid:durableId="762723969">
    <w:abstractNumId w:val="11"/>
  </w:num>
  <w:num w:numId="22" w16cid:durableId="1137913019">
    <w:abstractNumId w:val="26"/>
  </w:num>
  <w:num w:numId="23" w16cid:durableId="426850390">
    <w:abstractNumId w:val="2"/>
  </w:num>
  <w:num w:numId="24" w16cid:durableId="1523786692">
    <w:abstractNumId w:val="24"/>
  </w:num>
  <w:num w:numId="25" w16cid:durableId="795757373">
    <w:abstractNumId w:val="12"/>
  </w:num>
  <w:num w:numId="26" w16cid:durableId="224798228">
    <w:abstractNumId w:val="5"/>
  </w:num>
  <w:num w:numId="27" w16cid:durableId="77942907">
    <w:abstractNumId w:val="20"/>
  </w:num>
  <w:num w:numId="28" w16cid:durableId="985940317">
    <w:abstractNumId w:val="38"/>
  </w:num>
  <w:num w:numId="29" w16cid:durableId="601180647">
    <w:abstractNumId w:val="36"/>
  </w:num>
  <w:num w:numId="30" w16cid:durableId="452481513">
    <w:abstractNumId w:val="18"/>
  </w:num>
  <w:num w:numId="31" w16cid:durableId="876235138">
    <w:abstractNumId w:val="37"/>
  </w:num>
  <w:num w:numId="32" w16cid:durableId="126554336">
    <w:abstractNumId w:val="17"/>
  </w:num>
  <w:num w:numId="33" w16cid:durableId="375352557">
    <w:abstractNumId w:val="16"/>
  </w:num>
  <w:num w:numId="34" w16cid:durableId="1972397864">
    <w:abstractNumId w:val="3"/>
  </w:num>
  <w:num w:numId="35" w16cid:durableId="1477262329">
    <w:abstractNumId w:val="23"/>
  </w:num>
  <w:num w:numId="36" w16cid:durableId="581139229">
    <w:abstractNumId w:val="30"/>
  </w:num>
  <w:num w:numId="37" w16cid:durableId="193924931">
    <w:abstractNumId w:val="25"/>
  </w:num>
  <w:num w:numId="38" w16cid:durableId="268589879">
    <w:abstractNumId w:val="8"/>
  </w:num>
  <w:num w:numId="39" w16cid:durableId="1291476682">
    <w:abstractNumId w:val="28"/>
  </w:num>
  <w:num w:numId="40" w16cid:durableId="9729528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E3"/>
    <w:rsid w:val="000061D9"/>
    <w:rsid w:val="0002248B"/>
    <w:rsid w:val="00023A39"/>
    <w:rsid w:val="00042493"/>
    <w:rsid w:val="0005481E"/>
    <w:rsid w:val="00067B1C"/>
    <w:rsid w:val="000745C4"/>
    <w:rsid w:val="00090A32"/>
    <w:rsid w:val="000B5A08"/>
    <w:rsid w:val="000F5AA8"/>
    <w:rsid w:val="000F7141"/>
    <w:rsid w:val="00111F07"/>
    <w:rsid w:val="00156220"/>
    <w:rsid w:val="0016383B"/>
    <w:rsid w:val="0017052B"/>
    <w:rsid w:val="00190C00"/>
    <w:rsid w:val="001B790A"/>
    <w:rsid w:val="001C7C1E"/>
    <w:rsid w:val="0021387D"/>
    <w:rsid w:val="00216BFD"/>
    <w:rsid w:val="00223B0A"/>
    <w:rsid w:val="00226A34"/>
    <w:rsid w:val="0023147C"/>
    <w:rsid w:val="00242874"/>
    <w:rsid w:val="002635F8"/>
    <w:rsid w:val="00266A0C"/>
    <w:rsid w:val="002776D7"/>
    <w:rsid w:val="002904CB"/>
    <w:rsid w:val="002C1998"/>
    <w:rsid w:val="002D2AED"/>
    <w:rsid w:val="002D4EE2"/>
    <w:rsid w:val="003007AD"/>
    <w:rsid w:val="0031060F"/>
    <w:rsid w:val="00312EDC"/>
    <w:rsid w:val="00320D56"/>
    <w:rsid w:val="00343E55"/>
    <w:rsid w:val="00366931"/>
    <w:rsid w:val="00366B23"/>
    <w:rsid w:val="003979D9"/>
    <w:rsid w:val="003A1CEF"/>
    <w:rsid w:val="003A526A"/>
    <w:rsid w:val="003C5A14"/>
    <w:rsid w:val="003D1F13"/>
    <w:rsid w:val="003E451F"/>
    <w:rsid w:val="003F3E39"/>
    <w:rsid w:val="00410F5B"/>
    <w:rsid w:val="0043065F"/>
    <w:rsid w:val="004708B0"/>
    <w:rsid w:val="00487E94"/>
    <w:rsid w:val="004925CB"/>
    <w:rsid w:val="004E1EE3"/>
    <w:rsid w:val="004E71BE"/>
    <w:rsid w:val="00530FC8"/>
    <w:rsid w:val="00537110"/>
    <w:rsid w:val="00554FE5"/>
    <w:rsid w:val="0055688E"/>
    <w:rsid w:val="005A29CD"/>
    <w:rsid w:val="005B0C1F"/>
    <w:rsid w:val="00610EEA"/>
    <w:rsid w:val="0061615A"/>
    <w:rsid w:val="00627694"/>
    <w:rsid w:val="00654426"/>
    <w:rsid w:val="00672876"/>
    <w:rsid w:val="006B4A96"/>
    <w:rsid w:val="006C45F0"/>
    <w:rsid w:val="006E323D"/>
    <w:rsid w:val="006E6D17"/>
    <w:rsid w:val="006F73DB"/>
    <w:rsid w:val="006F7932"/>
    <w:rsid w:val="00707B0A"/>
    <w:rsid w:val="00741EAD"/>
    <w:rsid w:val="0074281C"/>
    <w:rsid w:val="0074349C"/>
    <w:rsid w:val="00744414"/>
    <w:rsid w:val="00773036"/>
    <w:rsid w:val="00785512"/>
    <w:rsid w:val="007B3C4B"/>
    <w:rsid w:val="007B77BE"/>
    <w:rsid w:val="007C5A8E"/>
    <w:rsid w:val="007F171E"/>
    <w:rsid w:val="00815585"/>
    <w:rsid w:val="00815CFF"/>
    <w:rsid w:val="0081684C"/>
    <w:rsid w:val="00822E70"/>
    <w:rsid w:val="008468D9"/>
    <w:rsid w:val="0085056B"/>
    <w:rsid w:val="00854592"/>
    <w:rsid w:val="00855FF9"/>
    <w:rsid w:val="00867ADC"/>
    <w:rsid w:val="008917CD"/>
    <w:rsid w:val="00895E53"/>
    <w:rsid w:val="008A1660"/>
    <w:rsid w:val="008C4024"/>
    <w:rsid w:val="008E581E"/>
    <w:rsid w:val="00926599"/>
    <w:rsid w:val="00953E2A"/>
    <w:rsid w:val="009626E7"/>
    <w:rsid w:val="00963818"/>
    <w:rsid w:val="00967729"/>
    <w:rsid w:val="00973600"/>
    <w:rsid w:val="009C5053"/>
    <w:rsid w:val="009E4170"/>
    <w:rsid w:val="009E46FC"/>
    <w:rsid w:val="00A157F6"/>
    <w:rsid w:val="00A31416"/>
    <w:rsid w:val="00A71F17"/>
    <w:rsid w:val="00A72317"/>
    <w:rsid w:val="00A86469"/>
    <w:rsid w:val="00AA7442"/>
    <w:rsid w:val="00AB7F73"/>
    <w:rsid w:val="00AC12C1"/>
    <w:rsid w:val="00AC6630"/>
    <w:rsid w:val="00AD725B"/>
    <w:rsid w:val="00AE5AD8"/>
    <w:rsid w:val="00AF121D"/>
    <w:rsid w:val="00B06610"/>
    <w:rsid w:val="00B12656"/>
    <w:rsid w:val="00B464EB"/>
    <w:rsid w:val="00B616A2"/>
    <w:rsid w:val="00B974BC"/>
    <w:rsid w:val="00BA2424"/>
    <w:rsid w:val="00BB2E50"/>
    <w:rsid w:val="00BC0E95"/>
    <w:rsid w:val="00BC5152"/>
    <w:rsid w:val="00BD2BE5"/>
    <w:rsid w:val="00BF6362"/>
    <w:rsid w:val="00C30A21"/>
    <w:rsid w:val="00C32188"/>
    <w:rsid w:val="00C35AAB"/>
    <w:rsid w:val="00C42F97"/>
    <w:rsid w:val="00C460CC"/>
    <w:rsid w:val="00C50870"/>
    <w:rsid w:val="00C65E08"/>
    <w:rsid w:val="00C72BA4"/>
    <w:rsid w:val="00CA6F81"/>
    <w:rsid w:val="00CD616F"/>
    <w:rsid w:val="00D17567"/>
    <w:rsid w:val="00D251ED"/>
    <w:rsid w:val="00D4256C"/>
    <w:rsid w:val="00D51656"/>
    <w:rsid w:val="00D56A72"/>
    <w:rsid w:val="00D64DB4"/>
    <w:rsid w:val="00D87EDB"/>
    <w:rsid w:val="00DA28B0"/>
    <w:rsid w:val="00DC1FB4"/>
    <w:rsid w:val="00DD68BC"/>
    <w:rsid w:val="00E12DF6"/>
    <w:rsid w:val="00E14194"/>
    <w:rsid w:val="00E4164B"/>
    <w:rsid w:val="00E63F13"/>
    <w:rsid w:val="00E640E7"/>
    <w:rsid w:val="00E65CE0"/>
    <w:rsid w:val="00E6740D"/>
    <w:rsid w:val="00E7092C"/>
    <w:rsid w:val="00E75047"/>
    <w:rsid w:val="00E75627"/>
    <w:rsid w:val="00E846B1"/>
    <w:rsid w:val="00EB06E7"/>
    <w:rsid w:val="00EF0E19"/>
    <w:rsid w:val="00EF4C62"/>
    <w:rsid w:val="00F0457A"/>
    <w:rsid w:val="00F16142"/>
    <w:rsid w:val="00F23180"/>
    <w:rsid w:val="00F23C83"/>
    <w:rsid w:val="00F31A60"/>
    <w:rsid w:val="00F360EA"/>
    <w:rsid w:val="00F62486"/>
    <w:rsid w:val="00F63D44"/>
    <w:rsid w:val="00F7104E"/>
    <w:rsid w:val="00FA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696B"/>
  <w15:chartTrackingRefBased/>
  <w15:docId w15:val="{195136A1-FB22-4A83-8B78-4C792ABE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4E1EE3"/>
    <w:pPr>
      <w:keepNext/>
      <w:keepLines/>
      <w:numPr>
        <w:numId w:val="28"/>
      </w:numPr>
      <w:spacing w:before="400" w:after="40" w:line="240" w:lineRule="auto"/>
      <w:jc w:val="center"/>
      <w:outlineLvl w:val="0"/>
    </w:pPr>
    <w:rPr>
      <w:rFonts w:ascii="Cambria" w:eastAsiaTheme="majorEastAsia" w:hAnsi="Cambria" w:cstheme="majorBidi"/>
      <w:b/>
      <w:caps/>
      <w:kern w:val="0"/>
      <w:sz w:val="28"/>
      <w:szCs w:val="36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E1EE3"/>
    <w:pPr>
      <w:keepNext/>
      <w:keepLines/>
      <w:spacing w:before="120" w:after="0" w:line="240" w:lineRule="auto"/>
      <w:outlineLvl w:val="1"/>
    </w:pPr>
    <w:rPr>
      <w:rFonts w:ascii="Cambria" w:eastAsiaTheme="majorEastAsia" w:hAnsi="Cambria" w:cstheme="majorBidi"/>
      <w:b/>
      <w:caps/>
      <w:kern w:val="0"/>
      <w:sz w:val="24"/>
      <w:szCs w:val="28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1EE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kern w:val="0"/>
      <w:sz w:val="28"/>
      <w:szCs w:val="28"/>
      <w14:ligatures w14:val="non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1EE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  <w:kern w:val="0"/>
      <w14:ligatures w14:val="none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1EE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  <w:kern w:val="0"/>
      <w14:ligatures w14:val="none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1EE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kern w:val="0"/>
      <w:sz w:val="20"/>
      <w:szCs w:val="20"/>
      <w14:ligatures w14:val="none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1EE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kern w:val="0"/>
      <w:sz w:val="20"/>
      <w:szCs w:val="20"/>
      <w14:ligatures w14:val="none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1EE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kern w:val="0"/>
      <w:sz w:val="20"/>
      <w:szCs w:val="20"/>
      <w14:ligatures w14:val="none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1EE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kern w:val="0"/>
      <w:sz w:val="20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1EE3"/>
    <w:rPr>
      <w:rFonts w:ascii="Cambria" w:eastAsiaTheme="majorEastAsia" w:hAnsi="Cambria" w:cstheme="majorBidi"/>
      <w:b/>
      <w:caps/>
      <w:kern w:val="0"/>
      <w:sz w:val="28"/>
      <w:szCs w:val="36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4E1EE3"/>
    <w:rPr>
      <w:rFonts w:ascii="Cambria" w:eastAsiaTheme="majorEastAsia" w:hAnsi="Cambria" w:cstheme="majorBidi"/>
      <w:b/>
      <w:caps/>
      <w:kern w:val="0"/>
      <w:sz w:val="24"/>
      <w:szCs w:val="28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1EE3"/>
    <w:rPr>
      <w:rFonts w:asciiTheme="majorHAnsi" w:eastAsiaTheme="majorEastAsia" w:hAnsiTheme="majorHAnsi" w:cstheme="majorBidi"/>
      <w:smallCaps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1EE3"/>
    <w:rPr>
      <w:rFonts w:asciiTheme="majorHAnsi" w:eastAsiaTheme="majorEastAsia" w:hAnsiTheme="majorHAnsi" w:cstheme="majorBidi"/>
      <w:caps/>
      <w:kern w:val="0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1EE3"/>
    <w:rPr>
      <w:rFonts w:asciiTheme="majorHAnsi" w:eastAsiaTheme="majorEastAsia" w:hAnsiTheme="majorHAnsi" w:cstheme="majorBidi"/>
      <w:i/>
      <w:iCs/>
      <w:caps/>
      <w:kern w:val="0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1EE3"/>
    <w:rPr>
      <w:rFonts w:asciiTheme="majorHAnsi" w:eastAsiaTheme="majorEastAsia" w:hAnsiTheme="majorHAnsi" w:cstheme="majorBidi"/>
      <w:b/>
      <w:bCs/>
      <w:caps/>
      <w:color w:val="262626" w:themeColor="text1" w:themeTint="D9"/>
      <w:kern w:val="0"/>
      <w:sz w:val="20"/>
      <w:szCs w:val="20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1EE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kern w:val="0"/>
      <w:sz w:val="20"/>
      <w:szCs w:val="20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1EE3"/>
    <w:rPr>
      <w:rFonts w:asciiTheme="majorHAnsi" w:eastAsiaTheme="majorEastAsia" w:hAnsiTheme="majorHAnsi" w:cstheme="majorBidi"/>
      <w:b/>
      <w:bCs/>
      <w:caps/>
      <w:color w:val="7F7F7F" w:themeColor="text1" w:themeTint="80"/>
      <w:kern w:val="0"/>
      <w:sz w:val="20"/>
      <w:szCs w:val="20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1EE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kern w:val="0"/>
      <w:sz w:val="20"/>
      <w:szCs w:val="20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4E1EE3"/>
  </w:style>
  <w:style w:type="paragraph" w:styleId="Odlomakpopisa">
    <w:name w:val="List Paragraph"/>
    <w:basedOn w:val="Normal"/>
    <w:uiPriority w:val="34"/>
    <w:qFormat/>
    <w:rsid w:val="004E1EE3"/>
    <w:pPr>
      <w:ind w:left="720"/>
      <w:contextualSpacing/>
    </w:pPr>
    <w:rPr>
      <w:rFonts w:eastAsiaTheme="minorEastAsia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4E1EE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4E1EE3"/>
    <w:rPr>
      <w:rFonts w:eastAsiaTheme="minorEastAsia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E1EE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4E1EE3"/>
    <w:rPr>
      <w:rFonts w:eastAsiaTheme="minorEastAsia"/>
      <w:kern w:val="0"/>
      <w14:ligatures w14:val="none"/>
    </w:rPr>
  </w:style>
  <w:style w:type="character" w:styleId="Brojretka">
    <w:name w:val="line number"/>
    <w:basedOn w:val="Zadanifontodlomka"/>
    <w:uiPriority w:val="99"/>
    <w:semiHidden/>
    <w:unhideWhenUsed/>
    <w:rsid w:val="004E1EE3"/>
  </w:style>
  <w:style w:type="paragraph" w:styleId="TOCNaslov">
    <w:name w:val="TOC Heading"/>
    <w:basedOn w:val="Naslov1"/>
    <w:next w:val="Normal"/>
    <w:uiPriority w:val="39"/>
    <w:unhideWhenUsed/>
    <w:qFormat/>
    <w:rsid w:val="004E1EE3"/>
    <w:pPr>
      <w:outlineLvl w:val="9"/>
    </w:pPr>
  </w:style>
  <w:style w:type="paragraph" w:styleId="Opisslike">
    <w:name w:val="caption"/>
    <w:basedOn w:val="Normal"/>
    <w:next w:val="Normal"/>
    <w:uiPriority w:val="35"/>
    <w:semiHidden/>
    <w:unhideWhenUsed/>
    <w:qFormat/>
    <w:rsid w:val="004E1EE3"/>
    <w:pPr>
      <w:spacing w:line="240" w:lineRule="auto"/>
    </w:pPr>
    <w:rPr>
      <w:rFonts w:eastAsiaTheme="minorEastAsia"/>
      <w:b/>
      <w:bCs/>
      <w:smallCaps/>
      <w:color w:val="595959" w:themeColor="text1" w:themeTint="A6"/>
      <w:kern w:val="0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4E1EE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kern w:val="0"/>
      <w:sz w:val="72"/>
      <w:szCs w:val="72"/>
      <w14:ligatures w14:val="none"/>
    </w:rPr>
  </w:style>
  <w:style w:type="character" w:customStyle="1" w:styleId="NaslovChar">
    <w:name w:val="Naslov Char"/>
    <w:basedOn w:val="Zadanifontodlomka"/>
    <w:link w:val="Naslov"/>
    <w:uiPriority w:val="10"/>
    <w:rsid w:val="004E1EE3"/>
    <w:rPr>
      <w:rFonts w:asciiTheme="majorHAnsi" w:eastAsiaTheme="majorEastAsia" w:hAnsiTheme="majorHAnsi" w:cstheme="majorBidi"/>
      <w:caps/>
      <w:color w:val="404040" w:themeColor="text1" w:themeTint="BF"/>
      <w:spacing w:val="-10"/>
      <w:kern w:val="0"/>
      <w:sz w:val="72"/>
      <w:szCs w:val="72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1EE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kern w:val="0"/>
      <w:sz w:val="28"/>
      <w:szCs w:val="28"/>
      <w14:ligatures w14:val="none"/>
    </w:rPr>
  </w:style>
  <w:style w:type="character" w:customStyle="1" w:styleId="PodnaslovChar">
    <w:name w:val="Podnaslov Char"/>
    <w:basedOn w:val="Zadanifontodlomka"/>
    <w:link w:val="Podnaslov"/>
    <w:uiPriority w:val="11"/>
    <w:rsid w:val="004E1EE3"/>
    <w:rPr>
      <w:rFonts w:asciiTheme="majorHAnsi" w:eastAsiaTheme="majorEastAsia" w:hAnsiTheme="majorHAnsi" w:cstheme="majorBidi"/>
      <w:smallCaps/>
      <w:color w:val="595959" w:themeColor="text1" w:themeTint="A6"/>
      <w:kern w:val="0"/>
      <w:sz w:val="28"/>
      <w:szCs w:val="28"/>
      <w14:ligatures w14:val="none"/>
    </w:rPr>
  </w:style>
  <w:style w:type="character" w:styleId="Naglaeno">
    <w:name w:val="Strong"/>
    <w:basedOn w:val="Zadanifontodlomka"/>
    <w:uiPriority w:val="22"/>
    <w:qFormat/>
    <w:rsid w:val="004E1EE3"/>
    <w:rPr>
      <w:b/>
      <w:bCs/>
    </w:rPr>
  </w:style>
  <w:style w:type="character" w:styleId="Istaknuto">
    <w:name w:val="Emphasis"/>
    <w:basedOn w:val="Zadanifontodlomka"/>
    <w:uiPriority w:val="20"/>
    <w:qFormat/>
    <w:rsid w:val="004E1EE3"/>
    <w:rPr>
      <w:i/>
      <w:iCs/>
    </w:rPr>
  </w:style>
  <w:style w:type="paragraph" w:styleId="Bezproreda">
    <w:name w:val="No Spacing"/>
    <w:uiPriority w:val="1"/>
    <w:qFormat/>
    <w:rsid w:val="004E1EE3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4E1EE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kern w:val="0"/>
      <w:sz w:val="25"/>
      <w:szCs w:val="25"/>
      <w14:ligatures w14:val="none"/>
    </w:rPr>
  </w:style>
  <w:style w:type="character" w:customStyle="1" w:styleId="CitatChar">
    <w:name w:val="Citat Char"/>
    <w:basedOn w:val="Zadanifontodlomka"/>
    <w:link w:val="Citat"/>
    <w:uiPriority w:val="29"/>
    <w:rsid w:val="004E1EE3"/>
    <w:rPr>
      <w:rFonts w:asciiTheme="majorHAnsi" w:eastAsiaTheme="majorEastAsia" w:hAnsiTheme="majorHAnsi" w:cstheme="majorBidi"/>
      <w:kern w:val="0"/>
      <w:sz w:val="25"/>
      <w:szCs w:val="25"/>
      <w14:ligatures w14:val="non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1EE3"/>
    <w:pPr>
      <w:spacing w:before="280" w:after="280" w:line="240" w:lineRule="auto"/>
      <w:ind w:left="1080" w:right="1080"/>
      <w:jc w:val="center"/>
    </w:pPr>
    <w:rPr>
      <w:rFonts w:eastAsiaTheme="minorEastAsia"/>
      <w:color w:val="404040" w:themeColor="text1" w:themeTint="BF"/>
      <w:kern w:val="0"/>
      <w:sz w:val="32"/>
      <w:szCs w:val="32"/>
      <w14:ligatures w14:val="none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1EE3"/>
    <w:rPr>
      <w:rFonts w:eastAsiaTheme="minorEastAsia"/>
      <w:color w:val="404040" w:themeColor="text1" w:themeTint="BF"/>
      <w:kern w:val="0"/>
      <w:sz w:val="32"/>
      <w:szCs w:val="32"/>
      <w14:ligatures w14:val="none"/>
    </w:rPr>
  </w:style>
  <w:style w:type="character" w:styleId="Neupadljivoisticanje">
    <w:name w:val="Subtle Emphasis"/>
    <w:basedOn w:val="Zadanifontodlomka"/>
    <w:uiPriority w:val="19"/>
    <w:qFormat/>
    <w:rsid w:val="004E1EE3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4E1EE3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4E1EE3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4E1EE3"/>
    <w:rPr>
      <w:b/>
      <w:bCs/>
      <w:caps w:val="0"/>
      <w:smallCaps/>
      <w:color w:val="auto"/>
      <w:spacing w:val="3"/>
      <w:u w:val="single"/>
    </w:rPr>
  </w:style>
  <w:style w:type="character" w:styleId="Naslovknjige">
    <w:name w:val="Book Title"/>
    <w:basedOn w:val="Zadanifontodlomka"/>
    <w:uiPriority w:val="33"/>
    <w:qFormat/>
    <w:rsid w:val="004E1EE3"/>
    <w:rPr>
      <w:b/>
      <w:bCs/>
      <w:smallCaps/>
      <w:spacing w:val="7"/>
    </w:rPr>
  </w:style>
  <w:style w:type="paragraph" w:styleId="Sadraj1">
    <w:name w:val="toc 1"/>
    <w:basedOn w:val="Normal"/>
    <w:next w:val="Normal"/>
    <w:autoRedefine/>
    <w:uiPriority w:val="39"/>
    <w:unhideWhenUsed/>
    <w:rsid w:val="004E1EE3"/>
    <w:pPr>
      <w:spacing w:after="100"/>
    </w:pPr>
    <w:rPr>
      <w:rFonts w:eastAsiaTheme="minorEastAsia"/>
      <w:kern w:val="0"/>
      <w14:ligatures w14:val="none"/>
    </w:rPr>
  </w:style>
  <w:style w:type="paragraph" w:styleId="Sadraj2">
    <w:name w:val="toc 2"/>
    <w:basedOn w:val="Normal"/>
    <w:next w:val="Normal"/>
    <w:autoRedefine/>
    <w:uiPriority w:val="39"/>
    <w:unhideWhenUsed/>
    <w:rsid w:val="004E1EE3"/>
    <w:pPr>
      <w:spacing w:after="100"/>
      <w:ind w:left="220"/>
    </w:pPr>
    <w:rPr>
      <w:rFonts w:eastAsiaTheme="minorEastAsia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4E1EE3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4E1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numbering" w:customStyle="1" w:styleId="Bezpopisa11">
    <w:name w:val="Bez popisa11"/>
    <w:next w:val="Bezpopisa"/>
    <w:uiPriority w:val="99"/>
    <w:semiHidden/>
    <w:unhideWhenUsed/>
    <w:rsid w:val="004E1EE3"/>
  </w:style>
  <w:style w:type="character" w:styleId="SlijeenaHiperveza">
    <w:name w:val="FollowedHyperlink"/>
    <w:basedOn w:val="Zadanifontodlomka"/>
    <w:uiPriority w:val="99"/>
    <w:semiHidden/>
    <w:unhideWhenUsed/>
    <w:rsid w:val="004E1EE3"/>
    <w:rPr>
      <w:color w:val="954F72"/>
      <w:u w:val="single"/>
    </w:rPr>
  </w:style>
  <w:style w:type="paragraph" w:customStyle="1" w:styleId="msonormal0">
    <w:name w:val="msonormal"/>
    <w:basedOn w:val="Normal"/>
    <w:rsid w:val="004E1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3">
    <w:name w:val="xl63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64">
    <w:name w:val="xl64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4169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4169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4169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4D6D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4D6D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4D6D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969696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7D7D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7D7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7D7D7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4E1E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4E1EE3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4E1EE3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4E1EE3"/>
    <w:pPr>
      <w:pBdr>
        <w:left w:val="single" w:sz="4" w:space="0" w:color="FFFFF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32"/>
      <w:szCs w:val="32"/>
      <w:lang w:eastAsia="hr-HR"/>
      <w14:ligatures w14:val="none"/>
    </w:rPr>
  </w:style>
  <w:style w:type="paragraph" w:customStyle="1" w:styleId="xl86">
    <w:name w:val="xl86"/>
    <w:basedOn w:val="Normal"/>
    <w:rsid w:val="004E1E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7">
    <w:name w:val="xl87"/>
    <w:basedOn w:val="Normal"/>
    <w:rsid w:val="004E1EE3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hr-HR"/>
      <w14:ligatures w14:val="none"/>
    </w:rPr>
  </w:style>
  <w:style w:type="numbering" w:customStyle="1" w:styleId="Bezpopisa2">
    <w:name w:val="Bez popisa2"/>
    <w:next w:val="Bezpopisa"/>
    <w:uiPriority w:val="99"/>
    <w:semiHidden/>
    <w:unhideWhenUsed/>
    <w:rsid w:val="004E1EE3"/>
  </w:style>
  <w:style w:type="character" w:styleId="Nerijeenospominjanje">
    <w:name w:val="Unresolved Mention"/>
    <w:basedOn w:val="Zadanifontodlomka"/>
    <w:uiPriority w:val="99"/>
    <w:semiHidden/>
    <w:unhideWhenUsed/>
    <w:rsid w:val="004E1EE3"/>
    <w:rPr>
      <w:color w:val="605E5C"/>
      <w:shd w:val="clear" w:color="auto" w:fill="E1DFDD"/>
    </w:rPr>
  </w:style>
  <w:style w:type="numbering" w:customStyle="1" w:styleId="Bezpopisa3">
    <w:name w:val="Bez popisa3"/>
    <w:next w:val="Bezpopisa"/>
    <w:uiPriority w:val="99"/>
    <w:semiHidden/>
    <w:unhideWhenUsed/>
    <w:rsid w:val="004708B0"/>
  </w:style>
  <w:style w:type="character" w:styleId="Referencakomentara">
    <w:name w:val="annotation reference"/>
    <w:basedOn w:val="Zadanifontodlomka"/>
    <w:uiPriority w:val="99"/>
    <w:semiHidden/>
    <w:unhideWhenUsed/>
    <w:rsid w:val="00E141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419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419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41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4194"/>
    <w:rPr>
      <w:b/>
      <w:bCs/>
      <w:sz w:val="20"/>
      <w:szCs w:val="20"/>
    </w:rPr>
  </w:style>
  <w:style w:type="numbering" w:customStyle="1" w:styleId="Bezpopisa4">
    <w:name w:val="Bez popisa4"/>
    <w:next w:val="Bezpopisa"/>
    <w:uiPriority w:val="99"/>
    <w:semiHidden/>
    <w:unhideWhenUsed/>
    <w:rsid w:val="00A31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</dc:creator>
  <cp:keywords/>
  <dc:description/>
  <cp:lastModifiedBy>Komunalac Koncanica</cp:lastModifiedBy>
  <cp:revision>11</cp:revision>
  <cp:lastPrinted>2025-08-08T12:29:00Z</cp:lastPrinted>
  <dcterms:created xsi:type="dcterms:W3CDTF">2025-08-08T12:11:00Z</dcterms:created>
  <dcterms:modified xsi:type="dcterms:W3CDTF">2025-08-14T07:35:00Z</dcterms:modified>
</cp:coreProperties>
</file>