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9995" w14:textId="5A3C7215" w:rsidR="003919CD" w:rsidRPr="003919CD" w:rsidRDefault="003919CD" w:rsidP="003919CD">
      <w:pPr>
        <w:ind w:left="1416"/>
        <w:rPr>
          <w:sz w:val="24"/>
          <w:szCs w:val="24"/>
        </w:rPr>
      </w:pPr>
      <w:r w:rsidRPr="003919CD">
        <w:rPr>
          <w:noProof/>
          <w:sz w:val="24"/>
          <w:szCs w:val="24"/>
        </w:rPr>
        <w:drawing>
          <wp:inline distT="0" distB="0" distL="0" distR="0" wp14:anchorId="5BF17F45" wp14:editId="5AAC6CA1">
            <wp:extent cx="571500" cy="695325"/>
            <wp:effectExtent l="0" t="0" r="0" b="9525"/>
            <wp:docPr id="212624175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F3895" w14:textId="77777777" w:rsidR="003919CD" w:rsidRPr="003919CD" w:rsidRDefault="003919CD" w:rsidP="003919CD">
      <w:pPr>
        <w:rPr>
          <w:sz w:val="24"/>
          <w:szCs w:val="24"/>
          <w:lang w:val="hr-HR"/>
        </w:rPr>
      </w:pPr>
      <w:r w:rsidRPr="003919CD">
        <w:rPr>
          <w:sz w:val="24"/>
          <w:szCs w:val="24"/>
        </w:rPr>
        <w:t xml:space="preserve">              </w:t>
      </w:r>
      <w:r w:rsidRPr="003919CD">
        <w:rPr>
          <w:sz w:val="24"/>
          <w:szCs w:val="24"/>
          <w:lang w:val="hr-HR"/>
        </w:rPr>
        <w:t>REPUBLIKA HRVATSKA</w:t>
      </w:r>
    </w:p>
    <w:p w14:paraId="5BB9583E" w14:textId="1DF4A3B5" w:rsidR="003919CD" w:rsidRPr="003919CD" w:rsidRDefault="003919CD" w:rsidP="003919CD">
      <w:pPr>
        <w:rPr>
          <w:sz w:val="24"/>
          <w:szCs w:val="24"/>
          <w:lang w:val="hr-HR"/>
        </w:rPr>
      </w:pPr>
      <w:r w:rsidRPr="003919CD">
        <w:rPr>
          <w:sz w:val="24"/>
          <w:szCs w:val="24"/>
          <w:lang w:val="hr-HR"/>
        </w:rPr>
        <w:t>BJELOVARSKO-BILOGORSKA ŽUPANIJA</w:t>
      </w:r>
    </w:p>
    <w:p w14:paraId="707B3CBB" w14:textId="77777777" w:rsidR="003919CD" w:rsidRPr="003919CD" w:rsidRDefault="003919CD" w:rsidP="003919CD">
      <w:pPr>
        <w:tabs>
          <w:tab w:val="left" w:pos="6946"/>
        </w:tabs>
        <w:ind w:right="4961"/>
        <w:rPr>
          <w:sz w:val="24"/>
          <w:szCs w:val="24"/>
          <w:lang w:val="hr-HR"/>
        </w:rPr>
      </w:pPr>
      <w:r w:rsidRPr="003919C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DA01B6F" wp14:editId="724944A4">
            <wp:simplePos x="0" y="0"/>
            <wp:positionH relativeFrom="column">
              <wp:posOffset>269240</wp:posOffset>
            </wp:positionH>
            <wp:positionV relativeFrom="paragraph">
              <wp:posOffset>62230</wp:posOffset>
            </wp:positionV>
            <wp:extent cx="234950" cy="304800"/>
            <wp:effectExtent l="0" t="0" r="0" b="0"/>
            <wp:wrapSquare wrapText="bothSides"/>
            <wp:docPr id="11043872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9CD">
        <w:rPr>
          <w:sz w:val="24"/>
          <w:szCs w:val="24"/>
          <w:lang w:val="hr-HR"/>
        </w:rPr>
        <w:t xml:space="preserve"> OPĆINA KONČANICA</w:t>
      </w:r>
    </w:p>
    <w:p w14:paraId="42D5B597" w14:textId="6E05E68C" w:rsidR="003919CD" w:rsidRPr="003919CD" w:rsidRDefault="003919CD" w:rsidP="003919CD">
      <w:pPr>
        <w:tabs>
          <w:tab w:val="left" w:pos="6946"/>
        </w:tabs>
        <w:ind w:right="4961"/>
        <w:rPr>
          <w:sz w:val="24"/>
          <w:szCs w:val="24"/>
          <w:lang w:val="hr-HR"/>
        </w:rPr>
      </w:pPr>
      <w:r w:rsidRPr="003919CD">
        <w:rPr>
          <w:sz w:val="24"/>
          <w:szCs w:val="24"/>
          <w:lang w:val="hr-HR"/>
        </w:rPr>
        <w:t xml:space="preserve"> </w:t>
      </w:r>
      <w:r w:rsidR="00AE0BB5">
        <w:rPr>
          <w:sz w:val="24"/>
          <w:szCs w:val="24"/>
          <w:lang w:val="hr-HR"/>
        </w:rPr>
        <w:t xml:space="preserve">  </w:t>
      </w:r>
      <w:r w:rsidRPr="003919CD">
        <w:rPr>
          <w:sz w:val="24"/>
          <w:szCs w:val="24"/>
          <w:lang w:val="hr-HR"/>
        </w:rPr>
        <w:t>OPĆINSKO VIJEĆE</w:t>
      </w:r>
    </w:p>
    <w:p w14:paraId="1BA42BD0" w14:textId="77777777" w:rsidR="003919CD" w:rsidRPr="003919CD" w:rsidRDefault="003919CD" w:rsidP="003919CD">
      <w:pPr>
        <w:ind w:right="5103"/>
        <w:jc w:val="center"/>
        <w:rPr>
          <w:sz w:val="24"/>
          <w:szCs w:val="24"/>
          <w:lang w:val="hr-HR"/>
        </w:rPr>
      </w:pPr>
    </w:p>
    <w:p w14:paraId="043188C2" w14:textId="77777777" w:rsidR="003919CD" w:rsidRPr="003919CD" w:rsidRDefault="003919CD" w:rsidP="003919CD">
      <w:pPr>
        <w:ind w:right="5103"/>
        <w:rPr>
          <w:sz w:val="24"/>
          <w:szCs w:val="24"/>
          <w:lang w:val="hr-HR"/>
        </w:rPr>
      </w:pPr>
    </w:p>
    <w:p w14:paraId="7B5824CF" w14:textId="7683C3C8" w:rsidR="003919CD" w:rsidRPr="00FE6589" w:rsidRDefault="003919CD" w:rsidP="00FE6589">
      <w:pPr>
        <w:ind w:right="-142"/>
        <w:rPr>
          <w:sz w:val="24"/>
          <w:szCs w:val="24"/>
          <w:lang w:val="hr-HR"/>
        </w:rPr>
      </w:pPr>
      <w:r w:rsidRPr="00FE6589">
        <w:rPr>
          <w:sz w:val="24"/>
          <w:szCs w:val="24"/>
          <w:lang w:val="hr-HR"/>
        </w:rPr>
        <w:t>KLASA: 400-03/2</w:t>
      </w:r>
      <w:r w:rsidR="00FE6589">
        <w:rPr>
          <w:sz w:val="24"/>
          <w:szCs w:val="24"/>
          <w:lang w:val="hr-HR"/>
        </w:rPr>
        <w:t>6-01/4</w:t>
      </w:r>
    </w:p>
    <w:p w14:paraId="7F890B16" w14:textId="01DCB444" w:rsidR="003919CD" w:rsidRPr="003919CD" w:rsidRDefault="003919CD" w:rsidP="00FE6589">
      <w:pPr>
        <w:ind w:right="-142"/>
        <w:rPr>
          <w:sz w:val="24"/>
          <w:szCs w:val="24"/>
          <w:lang w:val="hr-HR"/>
        </w:rPr>
      </w:pPr>
      <w:r w:rsidRPr="00FE6589">
        <w:rPr>
          <w:sz w:val="24"/>
          <w:szCs w:val="24"/>
          <w:lang w:val="hr-HR"/>
        </w:rPr>
        <w:t>UR.BROJ: 2103-12-01-2</w:t>
      </w:r>
      <w:r w:rsidR="00FE6589">
        <w:rPr>
          <w:sz w:val="24"/>
          <w:szCs w:val="24"/>
          <w:lang w:val="hr-HR"/>
        </w:rPr>
        <w:t>6-4</w:t>
      </w:r>
    </w:p>
    <w:p w14:paraId="477B4ECA" w14:textId="51B04AC9" w:rsidR="003919CD" w:rsidRPr="003919CD" w:rsidRDefault="003919CD" w:rsidP="003919CD">
      <w:pPr>
        <w:ind w:right="-142"/>
        <w:rPr>
          <w:sz w:val="24"/>
          <w:szCs w:val="24"/>
          <w:lang w:val="hr-HR"/>
        </w:rPr>
      </w:pPr>
      <w:r w:rsidRPr="003919CD">
        <w:rPr>
          <w:sz w:val="24"/>
          <w:szCs w:val="24"/>
          <w:lang w:val="hr-HR"/>
        </w:rPr>
        <w:t>Končanica, 1</w:t>
      </w:r>
      <w:r>
        <w:rPr>
          <w:sz w:val="24"/>
          <w:szCs w:val="24"/>
          <w:lang w:val="hr-HR"/>
        </w:rPr>
        <w:t>6. lipnja 2026.</w:t>
      </w:r>
    </w:p>
    <w:p w14:paraId="608A88B4" w14:textId="77777777" w:rsidR="003919CD" w:rsidRPr="003919CD" w:rsidRDefault="003919CD" w:rsidP="003919CD">
      <w:pPr>
        <w:ind w:right="-142"/>
        <w:rPr>
          <w:sz w:val="24"/>
          <w:szCs w:val="24"/>
          <w:lang w:val="hr-HR"/>
        </w:rPr>
      </w:pPr>
    </w:p>
    <w:p w14:paraId="6D203733" w14:textId="7A19A2A4" w:rsidR="003919CD" w:rsidRPr="003919CD" w:rsidRDefault="003919CD" w:rsidP="003919CD">
      <w:pPr>
        <w:ind w:right="-142"/>
        <w:jc w:val="both"/>
        <w:rPr>
          <w:sz w:val="24"/>
          <w:szCs w:val="24"/>
          <w:lang w:val="hr-HR"/>
        </w:rPr>
      </w:pPr>
      <w:r w:rsidRPr="003919CD">
        <w:rPr>
          <w:sz w:val="24"/>
          <w:szCs w:val="24"/>
          <w:lang w:val="hr-HR"/>
        </w:rPr>
        <w:t xml:space="preserve">                 </w:t>
      </w:r>
      <w:r w:rsidRPr="00303011">
        <w:rPr>
          <w:sz w:val="24"/>
          <w:szCs w:val="24"/>
          <w:lang w:val="hr-HR"/>
        </w:rPr>
        <w:t xml:space="preserve">Temeljem članka 89. i članka 90. Zakona o proračunu („Narodne novine“ broj 144/21), članka </w:t>
      </w:r>
      <w:r w:rsidR="00303011" w:rsidRPr="00303011">
        <w:rPr>
          <w:sz w:val="24"/>
          <w:szCs w:val="24"/>
          <w:lang w:val="hr-HR"/>
        </w:rPr>
        <w:t>215</w:t>
      </w:r>
      <w:r w:rsidRPr="00303011">
        <w:rPr>
          <w:sz w:val="24"/>
          <w:szCs w:val="24"/>
          <w:lang w:val="hr-HR"/>
        </w:rPr>
        <w:t xml:space="preserve">. </w:t>
      </w:r>
      <w:r w:rsidR="00303011" w:rsidRPr="00303011">
        <w:rPr>
          <w:sz w:val="24"/>
          <w:szCs w:val="24"/>
          <w:lang w:val="hr-HR"/>
        </w:rPr>
        <w:t>Pravilnika o proračunskom računovodstvu i računskom planu (“Narodne novine” br. 158/23)</w:t>
      </w:r>
      <w:r w:rsidRPr="00303011">
        <w:rPr>
          <w:sz w:val="24"/>
          <w:szCs w:val="24"/>
          <w:lang w:val="hr-HR"/>
        </w:rPr>
        <w:t xml:space="preserve"> i članka 31. Statuta Općine Končanica („Službeni glasnik Općine Končanica“ broj 01/21</w:t>
      </w:r>
      <w:r w:rsidR="00303011" w:rsidRPr="00303011">
        <w:rPr>
          <w:sz w:val="24"/>
          <w:szCs w:val="24"/>
          <w:lang w:val="hr-HR"/>
        </w:rPr>
        <w:t xml:space="preserve"> i 2/25</w:t>
      </w:r>
      <w:r w:rsidRPr="00303011">
        <w:rPr>
          <w:sz w:val="24"/>
          <w:szCs w:val="24"/>
          <w:lang w:val="hr-HR"/>
        </w:rPr>
        <w:t>),</w:t>
      </w:r>
      <w:r w:rsidRPr="003919CD">
        <w:rPr>
          <w:sz w:val="24"/>
          <w:szCs w:val="24"/>
          <w:lang w:val="hr-HR"/>
        </w:rPr>
        <w:t xml:space="preserve"> po prijedlogu općinskog načelnika Općinsko vijeće Općine Končanica na svojoj </w:t>
      </w:r>
      <w:r w:rsidRPr="00CA628D">
        <w:rPr>
          <w:sz w:val="24"/>
          <w:szCs w:val="24"/>
        </w:rPr>
        <w:t>9. sjednici održanoj 16. lipnja 2026. godine donosi</w:t>
      </w:r>
      <w:r w:rsidRPr="003919CD">
        <w:rPr>
          <w:sz w:val="24"/>
          <w:szCs w:val="24"/>
          <w:lang w:val="hr-HR"/>
        </w:rPr>
        <w:t xml:space="preserve"> </w:t>
      </w:r>
    </w:p>
    <w:p w14:paraId="07F28270" w14:textId="77777777" w:rsidR="003919CD" w:rsidRPr="003919CD" w:rsidRDefault="003919CD" w:rsidP="003919CD">
      <w:pPr>
        <w:ind w:right="-142"/>
        <w:rPr>
          <w:sz w:val="24"/>
          <w:szCs w:val="24"/>
          <w:lang w:val="hr-HR"/>
        </w:rPr>
      </w:pPr>
    </w:p>
    <w:p w14:paraId="7D82AD2B" w14:textId="77777777" w:rsidR="003919CD" w:rsidRPr="003919CD" w:rsidRDefault="003919CD" w:rsidP="003919CD">
      <w:pPr>
        <w:ind w:right="-142"/>
        <w:rPr>
          <w:sz w:val="24"/>
          <w:szCs w:val="24"/>
          <w:lang w:val="hr-HR"/>
        </w:rPr>
      </w:pPr>
    </w:p>
    <w:p w14:paraId="193A4A74" w14:textId="77777777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>O D L U K U</w:t>
      </w:r>
    </w:p>
    <w:p w14:paraId="6C46F31E" w14:textId="0EE92BFE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 xml:space="preserve">o raspodjeli </w:t>
      </w:r>
      <w:r w:rsidR="00A81715">
        <w:rPr>
          <w:b/>
          <w:sz w:val="24"/>
          <w:szCs w:val="24"/>
          <w:lang w:val="hr-HR"/>
        </w:rPr>
        <w:t xml:space="preserve">financijskog </w:t>
      </w:r>
      <w:r w:rsidRPr="003919CD">
        <w:rPr>
          <w:b/>
          <w:sz w:val="24"/>
          <w:szCs w:val="24"/>
          <w:lang w:val="hr-HR"/>
        </w:rPr>
        <w:t xml:space="preserve">rezultata </w:t>
      </w:r>
      <w:r w:rsidR="00A81715">
        <w:rPr>
          <w:b/>
          <w:sz w:val="24"/>
          <w:szCs w:val="24"/>
          <w:lang w:val="hr-HR"/>
        </w:rPr>
        <w:t>Općine Končanica za</w:t>
      </w:r>
      <w:r w:rsidRPr="003919CD">
        <w:rPr>
          <w:b/>
          <w:sz w:val="24"/>
          <w:szCs w:val="24"/>
          <w:lang w:val="hr-HR"/>
        </w:rPr>
        <w:t xml:space="preserve"> 202</w:t>
      </w:r>
      <w:r>
        <w:rPr>
          <w:b/>
          <w:sz w:val="24"/>
          <w:szCs w:val="24"/>
          <w:lang w:val="hr-HR"/>
        </w:rPr>
        <w:t>5</w:t>
      </w:r>
      <w:r w:rsidRPr="003919CD">
        <w:rPr>
          <w:b/>
          <w:sz w:val="24"/>
          <w:szCs w:val="24"/>
          <w:lang w:val="hr-HR"/>
        </w:rPr>
        <w:t>. godin</w:t>
      </w:r>
      <w:r w:rsidR="00A81715">
        <w:rPr>
          <w:b/>
          <w:sz w:val="24"/>
          <w:szCs w:val="24"/>
          <w:lang w:val="hr-HR"/>
        </w:rPr>
        <w:t>u</w:t>
      </w:r>
    </w:p>
    <w:p w14:paraId="3ABDCCA4" w14:textId="77777777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</w:p>
    <w:p w14:paraId="1E607557" w14:textId="77777777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>Članak 1.</w:t>
      </w:r>
    </w:p>
    <w:p w14:paraId="4DDAA81F" w14:textId="6382425E" w:rsidR="00604441" w:rsidRDefault="00A81715" w:rsidP="003919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Ovom Odlukom</w:t>
      </w:r>
      <w:r w:rsidR="00051B80">
        <w:rPr>
          <w:sz w:val="24"/>
          <w:szCs w:val="24"/>
        </w:rPr>
        <w:t xml:space="preserve"> o raspodjeli financijskog rezultata poslovanja ostvarenog u Proračunu Općine Končanica za 2025. godinu (u daljnjem tekstu: Odluka) </w:t>
      </w:r>
      <w:r>
        <w:rPr>
          <w:sz w:val="24"/>
          <w:szCs w:val="24"/>
        </w:rPr>
        <w:t>provodi se preraspodjela financijskog rezultata Općine Končanica za 2025. godinu u svrhu knjigovodstvenog usklađenja na računima podskupine 922</w:t>
      </w:r>
      <w:r w:rsidR="00604441">
        <w:rPr>
          <w:sz w:val="24"/>
          <w:szCs w:val="24"/>
        </w:rPr>
        <w:t>.</w:t>
      </w:r>
    </w:p>
    <w:p w14:paraId="729962CA" w14:textId="7E18ABED" w:rsidR="003919CD" w:rsidRPr="00AE0BB5" w:rsidRDefault="00A81715" w:rsidP="00AE0B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9CD" w:rsidRPr="003919CD">
        <w:rPr>
          <w:b/>
          <w:sz w:val="24"/>
          <w:szCs w:val="24"/>
          <w:lang w:val="hr-HR"/>
        </w:rPr>
        <w:t xml:space="preserve">                </w:t>
      </w:r>
    </w:p>
    <w:p w14:paraId="2CB88C6D" w14:textId="77777777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>Članak 2.</w:t>
      </w:r>
    </w:p>
    <w:p w14:paraId="7DC5DCF5" w14:textId="310AC600" w:rsidR="00051B80" w:rsidRPr="003B1140" w:rsidRDefault="00051B80" w:rsidP="003919CD">
      <w:pPr>
        <w:ind w:right="1" w:firstLine="708"/>
        <w:jc w:val="both"/>
        <w:rPr>
          <w:sz w:val="24"/>
          <w:szCs w:val="24"/>
        </w:rPr>
      </w:pPr>
      <w:r w:rsidRPr="003B1140">
        <w:rPr>
          <w:sz w:val="24"/>
          <w:szCs w:val="24"/>
        </w:rPr>
        <w:t>Na kraju obračunskog razdoblja u bilanci Općine Končanica na dan 31.12.2025. godine na osnovnim računima podskupine 922 iskazano je kako slijedi:</w:t>
      </w:r>
    </w:p>
    <w:p w14:paraId="06B434A7" w14:textId="209E7773" w:rsidR="00051B80" w:rsidRPr="003B1140" w:rsidRDefault="00051B80" w:rsidP="00051B80">
      <w:pPr>
        <w:pStyle w:val="Odlomakpopisa"/>
        <w:numPr>
          <w:ilvl w:val="0"/>
          <w:numId w:val="1"/>
        </w:num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B1140">
        <w:rPr>
          <w:rFonts w:ascii="Times New Roman" w:hAnsi="Times New Roman" w:cs="Times New Roman"/>
          <w:sz w:val="24"/>
          <w:szCs w:val="24"/>
        </w:rPr>
        <w:t>Višak prihoda poslovanja na računu 92211 u iznosu od 412.2</w:t>
      </w:r>
      <w:r w:rsidR="003A2147">
        <w:rPr>
          <w:rFonts w:ascii="Times New Roman" w:hAnsi="Times New Roman" w:cs="Times New Roman"/>
          <w:sz w:val="24"/>
          <w:szCs w:val="24"/>
        </w:rPr>
        <w:t>39,35</w:t>
      </w:r>
      <w:r w:rsidR="001B01CA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86EF4B3" w14:textId="4D8B1BBA" w:rsidR="00051B80" w:rsidRPr="003B1140" w:rsidRDefault="00051B80" w:rsidP="00051B80">
      <w:pPr>
        <w:pStyle w:val="Odlomakpopisa"/>
        <w:numPr>
          <w:ilvl w:val="0"/>
          <w:numId w:val="1"/>
        </w:num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B1140">
        <w:rPr>
          <w:rFonts w:ascii="Times New Roman" w:hAnsi="Times New Roman" w:cs="Times New Roman"/>
          <w:sz w:val="24"/>
          <w:szCs w:val="24"/>
        </w:rPr>
        <w:t>Manjak prihoda od nefinancijske imovine na računu 92222 u iznosu od 355.943,21 eura</w:t>
      </w:r>
    </w:p>
    <w:p w14:paraId="3D76C1F9" w14:textId="35BB128B" w:rsidR="00051B80" w:rsidRPr="003B1140" w:rsidRDefault="00051B80" w:rsidP="00051B80">
      <w:pPr>
        <w:pStyle w:val="Odlomakpopisa"/>
        <w:numPr>
          <w:ilvl w:val="0"/>
          <w:numId w:val="1"/>
        </w:num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B1140">
        <w:rPr>
          <w:rFonts w:ascii="Times New Roman" w:hAnsi="Times New Roman" w:cs="Times New Roman"/>
          <w:sz w:val="24"/>
          <w:szCs w:val="24"/>
        </w:rPr>
        <w:t xml:space="preserve">Manjak primitaka </w:t>
      </w:r>
      <w:r w:rsidR="003B1140" w:rsidRPr="003B1140">
        <w:rPr>
          <w:rFonts w:ascii="Times New Roman" w:hAnsi="Times New Roman" w:cs="Times New Roman"/>
          <w:sz w:val="24"/>
          <w:szCs w:val="24"/>
        </w:rPr>
        <w:t>od financijske imovine na računu 92223 u iznosu od 183.252,24 eura</w:t>
      </w:r>
    </w:p>
    <w:p w14:paraId="2C38FC40" w14:textId="75BCA9B1" w:rsidR="003B1140" w:rsidRPr="003B1140" w:rsidRDefault="003B1140" w:rsidP="003B1140">
      <w:pPr>
        <w:ind w:right="1" w:firstLine="708"/>
        <w:jc w:val="both"/>
        <w:rPr>
          <w:sz w:val="24"/>
          <w:szCs w:val="24"/>
        </w:rPr>
      </w:pPr>
      <w:r w:rsidRPr="003B1140">
        <w:rPr>
          <w:sz w:val="24"/>
          <w:szCs w:val="24"/>
        </w:rPr>
        <w:t>Od ostvarenog viška prihoda poslovanja u iznosu od 412.2</w:t>
      </w:r>
      <w:r w:rsidR="003A2147">
        <w:rPr>
          <w:sz w:val="24"/>
          <w:szCs w:val="24"/>
        </w:rPr>
        <w:t>39,35</w:t>
      </w:r>
      <w:r w:rsidRPr="003B1140">
        <w:rPr>
          <w:sz w:val="24"/>
          <w:szCs w:val="24"/>
        </w:rPr>
        <w:t xml:space="preserve"> eura pokriva se manjak prihoda poslovanja od nefinancijske imovine u iznosu od 355.943,21 eura </w:t>
      </w:r>
      <w:r w:rsidR="00AE0BB5">
        <w:rPr>
          <w:sz w:val="24"/>
          <w:szCs w:val="24"/>
        </w:rPr>
        <w:t>i</w:t>
      </w:r>
      <w:r w:rsidRPr="003B1140">
        <w:rPr>
          <w:sz w:val="24"/>
          <w:szCs w:val="24"/>
        </w:rPr>
        <w:t xml:space="preserve"> dio manjka primitaka od financijske imovine u iznosu od 56.</w:t>
      </w:r>
      <w:r w:rsidR="003A2147">
        <w:rPr>
          <w:sz w:val="24"/>
          <w:szCs w:val="24"/>
        </w:rPr>
        <w:t>296,14</w:t>
      </w:r>
      <w:r w:rsidRPr="003B1140">
        <w:rPr>
          <w:sz w:val="24"/>
          <w:szCs w:val="24"/>
        </w:rPr>
        <w:t xml:space="preserve"> eura.</w:t>
      </w:r>
    </w:p>
    <w:p w14:paraId="332B8DF1" w14:textId="4B9184B0" w:rsidR="003B1140" w:rsidRPr="003B1140" w:rsidRDefault="003B1140" w:rsidP="003B1140">
      <w:pPr>
        <w:ind w:right="1" w:firstLine="708"/>
        <w:jc w:val="both"/>
        <w:rPr>
          <w:sz w:val="24"/>
          <w:szCs w:val="24"/>
        </w:rPr>
      </w:pPr>
      <w:r w:rsidRPr="003B1140">
        <w:rPr>
          <w:sz w:val="24"/>
          <w:szCs w:val="24"/>
        </w:rPr>
        <w:t xml:space="preserve">Manjak primitaka od financijske imovine (preostali dio koji se nema s čim pokriti) u iznosu od 126.956,10 eura prenosi se u 2026. </w:t>
      </w:r>
      <w:r w:rsidR="00AE0BB5">
        <w:rPr>
          <w:sz w:val="24"/>
          <w:szCs w:val="24"/>
        </w:rPr>
        <w:t>g</w:t>
      </w:r>
      <w:r w:rsidRPr="003B1140">
        <w:rPr>
          <w:sz w:val="24"/>
          <w:szCs w:val="24"/>
        </w:rPr>
        <w:t>odinu.</w:t>
      </w:r>
    </w:p>
    <w:p w14:paraId="0A1F2245" w14:textId="77777777" w:rsidR="00AE0BB5" w:rsidRDefault="00AE0BB5" w:rsidP="003B1140">
      <w:pPr>
        <w:ind w:right="1" w:firstLine="708"/>
        <w:jc w:val="both"/>
        <w:rPr>
          <w:sz w:val="24"/>
          <w:szCs w:val="24"/>
        </w:rPr>
      </w:pPr>
    </w:p>
    <w:p w14:paraId="68B03E84" w14:textId="289C2AB5" w:rsidR="003B1140" w:rsidRPr="003B1140" w:rsidRDefault="003B1140" w:rsidP="003B1140">
      <w:pPr>
        <w:ind w:right="1" w:firstLine="708"/>
        <w:jc w:val="both"/>
        <w:rPr>
          <w:sz w:val="24"/>
          <w:szCs w:val="24"/>
        </w:rPr>
      </w:pPr>
      <w:r w:rsidRPr="003B1140">
        <w:rPr>
          <w:sz w:val="24"/>
          <w:szCs w:val="24"/>
        </w:rPr>
        <w:t>Na kraju obračunskog razdoblja u bilanci Češkog dječjeg vrtića Končanica na dan 31.12.2025. godine na osnovnim računima podskupine 922 iskazano je kako slijedi:</w:t>
      </w:r>
    </w:p>
    <w:p w14:paraId="4490AC98" w14:textId="535A2B49" w:rsidR="003B1140" w:rsidRPr="003B1140" w:rsidRDefault="003B1140" w:rsidP="003B1140">
      <w:pPr>
        <w:pStyle w:val="Odlomakpopisa"/>
        <w:numPr>
          <w:ilvl w:val="0"/>
          <w:numId w:val="2"/>
        </w:num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B1140">
        <w:rPr>
          <w:rFonts w:ascii="Times New Roman" w:hAnsi="Times New Roman" w:cs="Times New Roman"/>
          <w:sz w:val="24"/>
          <w:szCs w:val="24"/>
        </w:rPr>
        <w:t>Višak prihoda poslovanja na računu 92211 u iznosu od 5.947,47 eura</w:t>
      </w:r>
    </w:p>
    <w:p w14:paraId="16F1B5CF" w14:textId="34B2F318" w:rsidR="003B1140" w:rsidRPr="003B1140" w:rsidRDefault="003B1140" w:rsidP="003B1140">
      <w:pPr>
        <w:pStyle w:val="Odlomakpopisa"/>
        <w:numPr>
          <w:ilvl w:val="0"/>
          <w:numId w:val="2"/>
        </w:num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B1140">
        <w:rPr>
          <w:rFonts w:ascii="Times New Roman" w:hAnsi="Times New Roman" w:cs="Times New Roman"/>
          <w:sz w:val="24"/>
          <w:szCs w:val="24"/>
        </w:rPr>
        <w:t>Manjak prihoda od nefinancijske imovine na računu 92222 u iznosu od 14.896,32 eura</w:t>
      </w:r>
    </w:p>
    <w:p w14:paraId="27C7E479" w14:textId="618EF88B" w:rsidR="003B1140" w:rsidRPr="003B1140" w:rsidRDefault="003B1140" w:rsidP="003B1140">
      <w:pPr>
        <w:ind w:right="1" w:firstLine="708"/>
        <w:jc w:val="both"/>
        <w:rPr>
          <w:sz w:val="24"/>
          <w:szCs w:val="24"/>
        </w:rPr>
      </w:pPr>
      <w:r w:rsidRPr="003B1140">
        <w:rPr>
          <w:sz w:val="24"/>
          <w:szCs w:val="24"/>
        </w:rPr>
        <w:lastRenderedPageBreak/>
        <w:t>Od ostvarenog viška prihoda poslovanja u iznosu od 5.947,47 eura pokriva se manjak prihoda poslovanja od nefinancijske imovine u iznosu od 14.896,32 eura.</w:t>
      </w:r>
    </w:p>
    <w:p w14:paraId="773D5915" w14:textId="2CC9C02D" w:rsidR="003B1140" w:rsidRDefault="003B1140" w:rsidP="003B1140">
      <w:pPr>
        <w:ind w:right="1" w:firstLine="708"/>
        <w:jc w:val="both"/>
        <w:rPr>
          <w:sz w:val="24"/>
          <w:szCs w:val="24"/>
        </w:rPr>
      </w:pPr>
      <w:r w:rsidRPr="003B1140">
        <w:rPr>
          <w:sz w:val="24"/>
          <w:szCs w:val="24"/>
        </w:rPr>
        <w:t xml:space="preserve">Manjak prihoda od nefinancijske imovine (preostali dio koji se nema s čim pokriti) u iznosu od 8.948,85 eura prenosi se u 2026. </w:t>
      </w:r>
      <w:r w:rsidR="00AE0BB5">
        <w:rPr>
          <w:sz w:val="24"/>
          <w:szCs w:val="24"/>
        </w:rPr>
        <w:t>g</w:t>
      </w:r>
      <w:r w:rsidRPr="003B1140">
        <w:rPr>
          <w:sz w:val="24"/>
          <w:szCs w:val="24"/>
        </w:rPr>
        <w:t>odinu.</w:t>
      </w:r>
    </w:p>
    <w:p w14:paraId="2B57C413" w14:textId="33129AF2" w:rsidR="00491D6A" w:rsidRPr="003B1140" w:rsidRDefault="00491D6A" w:rsidP="003B1140">
      <w:pPr>
        <w:ind w:right="1" w:firstLine="708"/>
        <w:jc w:val="both"/>
        <w:rPr>
          <w:sz w:val="24"/>
          <w:szCs w:val="24"/>
        </w:rPr>
      </w:pPr>
      <w:r>
        <w:rPr>
          <w:sz w:val="24"/>
          <w:szCs w:val="24"/>
        </w:rPr>
        <w:t>Ukupan manjak koji će se pokriti u 2026. godini iznosi 135.904,95 eura.</w:t>
      </w:r>
    </w:p>
    <w:p w14:paraId="48D18A6D" w14:textId="77777777" w:rsidR="009E729C" w:rsidRDefault="009E729C" w:rsidP="003919CD">
      <w:pPr>
        <w:ind w:right="-142"/>
        <w:jc w:val="center"/>
        <w:rPr>
          <w:b/>
          <w:sz w:val="24"/>
          <w:szCs w:val="24"/>
          <w:lang w:val="hr-HR"/>
        </w:rPr>
      </w:pPr>
    </w:p>
    <w:p w14:paraId="6CFB4828" w14:textId="2FE03EAF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>Članak 3.</w:t>
      </w:r>
    </w:p>
    <w:p w14:paraId="7F0C29CD" w14:textId="77777777" w:rsidR="003919CD" w:rsidRPr="003919CD" w:rsidRDefault="003919CD" w:rsidP="003919CD">
      <w:pPr>
        <w:ind w:right="-142"/>
        <w:jc w:val="both"/>
        <w:rPr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 xml:space="preserve">                   </w:t>
      </w:r>
      <w:r w:rsidRPr="003919CD">
        <w:rPr>
          <w:sz w:val="24"/>
          <w:szCs w:val="24"/>
          <w:lang w:val="hr-HR"/>
        </w:rPr>
        <w:t>Nalaže se računovodstvu Općine Končanica da izvrši knjiženje u skladu sa člankom 2. ove Odluke.</w:t>
      </w:r>
    </w:p>
    <w:p w14:paraId="10ACA6AB" w14:textId="77777777" w:rsidR="003919CD" w:rsidRPr="003919CD" w:rsidRDefault="003919CD" w:rsidP="003919CD">
      <w:pPr>
        <w:ind w:right="-142"/>
        <w:jc w:val="both"/>
        <w:rPr>
          <w:sz w:val="24"/>
          <w:szCs w:val="24"/>
          <w:lang w:val="hr-HR"/>
        </w:rPr>
      </w:pPr>
    </w:p>
    <w:p w14:paraId="4A82B813" w14:textId="77777777" w:rsidR="003919CD" w:rsidRPr="003919CD" w:rsidRDefault="003919CD" w:rsidP="003919CD">
      <w:pPr>
        <w:ind w:right="-142"/>
        <w:jc w:val="center"/>
        <w:rPr>
          <w:b/>
          <w:sz w:val="24"/>
          <w:szCs w:val="24"/>
          <w:lang w:val="hr-HR"/>
        </w:rPr>
      </w:pPr>
      <w:r w:rsidRPr="003919CD">
        <w:rPr>
          <w:b/>
          <w:sz w:val="24"/>
          <w:szCs w:val="24"/>
          <w:lang w:val="hr-HR"/>
        </w:rPr>
        <w:t>Članak 4.</w:t>
      </w:r>
    </w:p>
    <w:p w14:paraId="13DC9576" w14:textId="77777777" w:rsidR="003919CD" w:rsidRPr="003919CD" w:rsidRDefault="003919CD" w:rsidP="003919CD">
      <w:pPr>
        <w:ind w:right="-142"/>
        <w:jc w:val="both"/>
        <w:rPr>
          <w:sz w:val="24"/>
          <w:szCs w:val="24"/>
          <w:lang w:val="hr-HR"/>
        </w:rPr>
      </w:pPr>
      <w:r w:rsidRPr="003919CD">
        <w:rPr>
          <w:sz w:val="24"/>
          <w:szCs w:val="24"/>
          <w:lang w:val="hr-HR"/>
        </w:rPr>
        <w:t xml:space="preserve">                    Ova Odluka stupa na snagu osmog dana od dana objave u „Službenom glasniku Općine Končanica“.</w:t>
      </w:r>
    </w:p>
    <w:p w14:paraId="105E7A34" w14:textId="77777777" w:rsidR="003919CD" w:rsidRPr="003919CD" w:rsidRDefault="003919CD" w:rsidP="003919CD">
      <w:pPr>
        <w:ind w:right="-142"/>
        <w:jc w:val="both"/>
        <w:rPr>
          <w:sz w:val="24"/>
          <w:szCs w:val="24"/>
          <w:lang w:val="hr-HR"/>
        </w:rPr>
      </w:pPr>
    </w:p>
    <w:p w14:paraId="323B2920" w14:textId="77777777" w:rsidR="003919CD" w:rsidRDefault="003919CD" w:rsidP="003919CD">
      <w:pPr>
        <w:ind w:right="-142"/>
        <w:rPr>
          <w:sz w:val="24"/>
          <w:szCs w:val="24"/>
          <w:lang w:val="hr-HR"/>
        </w:rPr>
      </w:pPr>
    </w:p>
    <w:p w14:paraId="270CF770" w14:textId="77777777" w:rsidR="003919CD" w:rsidRDefault="003919CD" w:rsidP="003919CD">
      <w:pPr>
        <w:ind w:right="-142"/>
        <w:jc w:val="right"/>
        <w:rPr>
          <w:b/>
          <w:sz w:val="24"/>
          <w:szCs w:val="24"/>
          <w:lang w:val="hr-HR"/>
        </w:rPr>
      </w:pPr>
    </w:p>
    <w:p w14:paraId="201B2E4F" w14:textId="1AD2E0F6" w:rsidR="003919CD" w:rsidRPr="009E729C" w:rsidRDefault="003919CD" w:rsidP="003919CD">
      <w:pPr>
        <w:ind w:right="-142"/>
        <w:jc w:val="right"/>
        <w:rPr>
          <w:bCs/>
          <w:sz w:val="24"/>
          <w:szCs w:val="24"/>
          <w:lang w:val="hr-HR"/>
        </w:rPr>
      </w:pPr>
      <w:r w:rsidRPr="009E729C">
        <w:rPr>
          <w:bCs/>
          <w:sz w:val="24"/>
          <w:szCs w:val="24"/>
          <w:lang w:val="hr-HR"/>
        </w:rPr>
        <w:t>PREDSJEDNICA OPĆINSKOG VIJEĆA</w:t>
      </w:r>
    </w:p>
    <w:p w14:paraId="234034AD" w14:textId="0889037E" w:rsidR="003919CD" w:rsidRPr="009E729C" w:rsidRDefault="00303011" w:rsidP="003919CD">
      <w:pPr>
        <w:ind w:left="4248" w:right="-142" w:firstLine="708"/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         </w:t>
      </w:r>
      <w:r w:rsidR="003919CD" w:rsidRPr="009E729C">
        <w:rPr>
          <w:bCs/>
          <w:sz w:val="24"/>
          <w:szCs w:val="24"/>
          <w:lang w:val="hr-HR"/>
        </w:rPr>
        <w:t>OPĆINE KONČANICA</w:t>
      </w:r>
    </w:p>
    <w:p w14:paraId="5AC0B301" w14:textId="3FEB889F" w:rsidR="003919CD" w:rsidRPr="009E729C" w:rsidRDefault="00303011" w:rsidP="003919CD">
      <w:pPr>
        <w:ind w:left="4248" w:right="-142" w:firstLine="708"/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            </w:t>
      </w:r>
      <w:r w:rsidR="003919CD" w:rsidRPr="009E729C">
        <w:rPr>
          <w:bCs/>
          <w:sz w:val="24"/>
          <w:szCs w:val="24"/>
          <w:lang w:val="hr-HR"/>
        </w:rPr>
        <w:t xml:space="preserve">Marija Kubišta         </w:t>
      </w:r>
    </w:p>
    <w:p w14:paraId="3840F150" w14:textId="77777777" w:rsidR="00223B0A" w:rsidRPr="003919CD" w:rsidRDefault="00223B0A">
      <w:pPr>
        <w:rPr>
          <w:sz w:val="24"/>
          <w:szCs w:val="24"/>
        </w:rPr>
      </w:pPr>
    </w:p>
    <w:sectPr w:rsidR="00223B0A" w:rsidRPr="003919CD" w:rsidSect="003919CD">
      <w:footerReference w:type="even" r:id="rId9"/>
      <w:footerReference w:type="default" r:id="rId10"/>
      <w:pgSz w:w="11906" w:h="16838"/>
      <w:pgMar w:top="1440" w:right="1133" w:bottom="1135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23C5" w14:textId="77777777" w:rsidR="005A18F3" w:rsidRDefault="005A18F3">
      <w:r>
        <w:separator/>
      </w:r>
    </w:p>
  </w:endnote>
  <w:endnote w:type="continuationSeparator" w:id="0">
    <w:p w14:paraId="51C983A4" w14:textId="77777777" w:rsidR="005A18F3" w:rsidRDefault="005A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472D" w14:textId="77777777" w:rsidR="003919CD" w:rsidRDefault="003919CD" w:rsidP="00CA31C2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1A469671" w14:textId="77777777" w:rsidR="003919CD" w:rsidRDefault="003919CD" w:rsidP="0088152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AAA6" w14:textId="77777777" w:rsidR="003919CD" w:rsidRDefault="003919CD" w:rsidP="00CA31C2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2</w:t>
    </w:r>
    <w:r>
      <w:rPr>
        <w:rStyle w:val="Brojstranice"/>
        <w:rFonts w:eastAsiaTheme="majorEastAsia"/>
      </w:rPr>
      <w:fldChar w:fldCharType="end"/>
    </w:r>
  </w:p>
  <w:p w14:paraId="15C76020" w14:textId="77777777" w:rsidR="003919CD" w:rsidRDefault="003919CD" w:rsidP="0088152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B6BB" w14:textId="77777777" w:rsidR="005A18F3" w:rsidRDefault="005A18F3">
      <w:r>
        <w:separator/>
      </w:r>
    </w:p>
  </w:footnote>
  <w:footnote w:type="continuationSeparator" w:id="0">
    <w:p w14:paraId="469CA5E2" w14:textId="77777777" w:rsidR="005A18F3" w:rsidRDefault="005A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504F"/>
    <w:multiLevelType w:val="hybridMultilevel"/>
    <w:tmpl w:val="36EEA39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B47B78"/>
    <w:multiLevelType w:val="hybridMultilevel"/>
    <w:tmpl w:val="F88EF7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45004658">
    <w:abstractNumId w:val="0"/>
  </w:num>
  <w:num w:numId="2" w16cid:durableId="159948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D"/>
    <w:rsid w:val="00051B80"/>
    <w:rsid w:val="000F5F21"/>
    <w:rsid w:val="00104273"/>
    <w:rsid w:val="001068CD"/>
    <w:rsid w:val="00147B6A"/>
    <w:rsid w:val="001B01CA"/>
    <w:rsid w:val="00223B0A"/>
    <w:rsid w:val="002509CD"/>
    <w:rsid w:val="002869C6"/>
    <w:rsid w:val="00303011"/>
    <w:rsid w:val="003919CD"/>
    <w:rsid w:val="003A2147"/>
    <w:rsid w:val="003B1140"/>
    <w:rsid w:val="003E0F75"/>
    <w:rsid w:val="004655EF"/>
    <w:rsid w:val="00491D6A"/>
    <w:rsid w:val="005A18F3"/>
    <w:rsid w:val="00604441"/>
    <w:rsid w:val="0083361B"/>
    <w:rsid w:val="0086184F"/>
    <w:rsid w:val="008F291F"/>
    <w:rsid w:val="0095457D"/>
    <w:rsid w:val="009728E7"/>
    <w:rsid w:val="00995168"/>
    <w:rsid w:val="009E6850"/>
    <w:rsid w:val="009E729C"/>
    <w:rsid w:val="00A81715"/>
    <w:rsid w:val="00AE0BB5"/>
    <w:rsid w:val="00AF1350"/>
    <w:rsid w:val="00BF1E97"/>
    <w:rsid w:val="00C610F7"/>
    <w:rsid w:val="00E00647"/>
    <w:rsid w:val="00E26C0C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7CF0"/>
  <w15:chartTrackingRefBased/>
  <w15:docId w15:val="{1B5B53FD-D731-4CDF-8B0D-56D21AA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919CD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919CD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9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9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91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919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919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919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919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919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919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919C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9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919CD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9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9CD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919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919C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919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9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919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919CD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rsid w:val="003919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919CD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styleId="Brojstranice">
    <w:name w:val="page number"/>
    <w:basedOn w:val="Zadanifontodlomka"/>
    <w:rsid w:val="003919CD"/>
  </w:style>
  <w:style w:type="table" w:styleId="Reetkatablice">
    <w:name w:val="Table Grid"/>
    <w:basedOn w:val="Obinatablica"/>
    <w:uiPriority w:val="39"/>
    <w:rsid w:val="0086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30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3011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Voditelj</cp:lastModifiedBy>
  <cp:revision>4</cp:revision>
  <dcterms:created xsi:type="dcterms:W3CDTF">2026-06-11T07:54:00Z</dcterms:created>
  <dcterms:modified xsi:type="dcterms:W3CDTF">2026-06-18T06:45:00Z</dcterms:modified>
</cp:coreProperties>
</file>